
<file path=[Content_Types].xml><?xml version="1.0" encoding="utf-8"?>
<Types xmlns="http://schemas.openxmlformats.org/package/2006/content-types">
  <Default Extension="xml" ContentType="application/xml"/>
  <Default Extension="xlsx" ContentType="application/vnd.openxmlformats-officedocument.spreadsheetml.shee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2017年平塘县供销合作社联合社部门</w:t>
      </w:r>
    </w:p>
    <w:p>
      <w:pPr>
        <w:numPr>
          <w:ilvl w:val="0"/>
          <w:numId w:val="0"/>
        </w:numPr>
        <w:jc w:val="cente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决算分析报告</w:t>
      </w:r>
    </w:p>
    <w:p>
      <w:pPr>
        <w:numPr>
          <w:ilvl w:val="0"/>
          <w:numId w:val="0"/>
        </w:numPr>
        <w:rPr>
          <w:rFonts w:hint="eastAsia" w:ascii="仿宋_GB2312" w:hAnsi="仿宋_GB2312" w:eastAsia="仿宋_GB2312" w:cs="仿宋_GB2312"/>
          <w:sz w:val="30"/>
          <w:szCs w:val="30"/>
          <w:lang w:val="en-US" w:eastAsia="zh-CN"/>
        </w:rPr>
      </w:pPr>
    </w:p>
    <w:p>
      <w:pPr>
        <w:numPr>
          <w:ilvl w:val="0"/>
          <w:numId w:val="1"/>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部门主要职责及机构设置情况</w:t>
      </w:r>
      <w:r>
        <w:rPr>
          <w:rFonts w:hint="eastAsia" w:ascii="仿宋_GB2312" w:hAnsi="仿宋_GB2312" w:eastAsia="仿宋_GB2312" w:cs="仿宋_GB2312"/>
          <w:sz w:val="30"/>
          <w:szCs w:val="30"/>
          <w:lang w:val="en-US" w:eastAsia="zh-CN"/>
        </w:rPr>
        <w:t xml:space="preserve"> </w:t>
      </w:r>
    </w:p>
    <w:p>
      <w:pPr>
        <w:numPr>
          <w:ilvl w:val="0"/>
          <w:numId w:val="2"/>
        </w:numPr>
        <w:ind w:left="320" w:leftChars="0" w:firstLine="0" w:firstLineChars="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部门主要职责</w:t>
      </w:r>
    </w:p>
    <w:p>
      <w:pPr>
        <w:numPr>
          <w:ilvl w:val="0"/>
          <w:numId w:val="3"/>
        </w:numPr>
        <w:snapToGrid w:val="0"/>
        <w:spacing w:line="50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宣传贯彻</w:t>
      </w:r>
      <w:r>
        <w:rPr>
          <w:rFonts w:hint="eastAsia" w:ascii="仿宋_GB2312" w:hAnsi="仿宋_GB2312" w:eastAsia="仿宋_GB2312" w:cs="仿宋_GB2312"/>
          <w:sz w:val="30"/>
          <w:szCs w:val="30"/>
          <w:lang w:eastAsia="zh-CN"/>
        </w:rPr>
        <w:t>国家及</w:t>
      </w:r>
      <w:r>
        <w:rPr>
          <w:rFonts w:hint="eastAsia" w:ascii="仿宋_GB2312" w:hAnsi="仿宋_GB2312" w:eastAsia="仿宋_GB2312" w:cs="仿宋_GB2312"/>
          <w:sz w:val="30"/>
          <w:szCs w:val="30"/>
        </w:rPr>
        <w:t>省、州</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县</w:t>
      </w:r>
      <w:r>
        <w:rPr>
          <w:rFonts w:hint="eastAsia" w:ascii="仿宋_GB2312" w:hAnsi="仿宋_GB2312" w:eastAsia="仿宋_GB2312" w:cs="仿宋_GB2312"/>
          <w:sz w:val="30"/>
          <w:szCs w:val="30"/>
          <w:lang w:eastAsia="zh-CN"/>
        </w:rPr>
        <w:t>的方针政策和法律法规，拟订全县供销合作发展战略规则，指导全县供销合作系统的经营服务、改革发展工作。</w:t>
      </w:r>
    </w:p>
    <w:p>
      <w:pPr>
        <w:numPr>
          <w:ilvl w:val="0"/>
          <w:numId w:val="3"/>
        </w:numPr>
        <w:snapToGrid w:val="0"/>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、按照县政府授权，对重要农业生产资料、农副产品及其他商品的经营、储备进行组织、指导、协调和管理。</w:t>
      </w:r>
    </w:p>
    <w:p>
      <w:pPr>
        <w:numPr>
          <w:ilvl w:val="0"/>
          <w:numId w:val="3"/>
        </w:numPr>
        <w:snapToGrid w:val="0"/>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、通过兴办农民专业合作社、促进行业协会建议、创办农村综合服务组织、参与农村金融服务等途径，推动和促进合作经济的发展，强化为农服务功能。</w:t>
      </w:r>
    </w:p>
    <w:p>
      <w:pPr>
        <w:numPr>
          <w:ilvl w:val="0"/>
          <w:numId w:val="3"/>
        </w:numPr>
        <w:snapToGrid w:val="0"/>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、组织实施农村现代流通网络建设和综合服务体系建设，促进城乡经济社会协调</w:t>
      </w:r>
      <w:r>
        <w:rPr>
          <w:rFonts w:hint="eastAsia" w:ascii="仿宋_GB2312" w:hAnsi="仿宋_GB2312" w:eastAsia="仿宋_GB2312" w:cs="仿宋_GB2312"/>
          <w:sz w:val="30"/>
          <w:szCs w:val="30"/>
          <w:lang w:val="en-US" w:eastAsia="zh-CN"/>
        </w:rPr>
        <w:t>发展；兴办各类农副产品批发市场，培育农产品加工龙头企业；领办农业开发项目和扶贫项目，参与和推动农业产业化经营。</w:t>
      </w:r>
    </w:p>
    <w:p>
      <w:pPr>
        <w:numPr>
          <w:ilvl w:val="0"/>
          <w:numId w:val="3"/>
        </w:numPr>
        <w:snapToGrid w:val="0"/>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、监督、管理和运营本级社有资产，确保社有资产保值增值；对牵头领办的合作经济组织及直属企业行使出资人的职能，享有出资人权益。</w:t>
      </w:r>
    </w:p>
    <w:p>
      <w:pPr>
        <w:numPr>
          <w:ilvl w:val="0"/>
          <w:numId w:val="3"/>
        </w:numPr>
        <w:snapToGrid w:val="0"/>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、组织开展合作经济成员和职工的教育与培训，负责各基层供销社、县直属公司领导班子的配备、管理和考核，抓好全县供销系统党建和精神文明建设。</w:t>
      </w:r>
    </w:p>
    <w:p>
      <w:pPr>
        <w:numPr>
          <w:ilvl w:val="0"/>
          <w:numId w:val="3"/>
        </w:numPr>
        <w:snapToGrid w:val="0"/>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、向县委、县政府和上级业务主管部门及有关单位反映农民社员和基层供销社的意见和要求，切实做好服务和矛盾纠纷化解工作，确保系统安全和社会稳定。</w:t>
      </w:r>
    </w:p>
    <w:p>
      <w:pPr>
        <w:numPr>
          <w:ilvl w:val="0"/>
          <w:numId w:val="3"/>
        </w:numPr>
        <w:snapToGrid w:val="0"/>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承办县委、县政府和上级业务主管部门交办的其它事项。</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平塘县供销合作社联合社是全额拨款事业参公单位，</w:t>
      </w:r>
      <w:r>
        <w:rPr>
          <w:rFonts w:hint="eastAsia" w:ascii="仿宋_GB2312" w:hAnsi="仿宋_GB2312" w:eastAsia="仿宋_GB2312" w:cs="仿宋_GB2312"/>
          <w:sz w:val="30"/>
          <w:szCs w:val="30"/>
        </w:rPr>
        <w:t>内设办公室、合作</w:t>
      </w:r>
      <w:r>
        <w:rPr>
          <w:rFonts w:hint="eastAsia" w:ascii="仿宋_GB2312" w:hAnsi="仿宋_GB2312" w:eastAsia="仿宋_GB2312" w:cs="仿宋_GB2312"/>
          <w:sz w:val="30"/>
          <w:szCs w:val="30"/>
          <w:lang w:eastAsia="zh-CN"/>
        </w:rPr>
        <w:t>指导科</w:t>
      </w:r>
      <w:r>
        <w:rPr>
          <w:rFonts w:hint="eastAsia" w:ascii="仿宋_GB2312" w:hAnsi="仿宋_GB2312" w:eastAsia="仿宋_GB2312" w:cs="仿宋_GB2312"/>
          <w:sz w:val="30"/>
          <w:szCs w:val="30"/>
        </w:rPr>
        <w:t>、财统</w:t>
      </w:r>
      <w:r>
        <w:rPr>
          <w:rFonts w:hint="eastAsia" w:ascii="仿宋_GB2312" w:hAnsi="仿宋_GB2312" w:eastAsia="仿宋_GB2312" w:cs="仿宋_GB2312"/>
          <w:sz w:val="30"/>
          <w:szCs w:val="30"/>
          <w:lang w:eastAsia="zh-CN"/>
        </w:rPr>
        <w:t>科</w:t>
      </w:r>
      <w:r>
        <w:rPr>
          <w:rFonts w:hint="eastAsia" w:ascii="仿宋_GB2312" w:hAnsi="仿宋_GB2312" w:eastAsia="仿宋_GB2312" w:cs="仿宋_GB2312"/>
          <w:sz w:val="30"/>
          <w:szCs w:val="30"/>
        </w:rPr>
        <w:t>、资产管理</w:t>
      </w:r>
      <w:r>
        <w:rPr>
          <w:rFonts w:hint="eastAsia" w:ascii="仿宋_GB2312" w:hAnsi="仿宋_GB2312" w:eastAsia="仿宋_GB2312" w:cs="仿宋_GB2312"/>
          <w:sz w:val="30"/>
          <w:szCs w:val="30"/>
          <w:lang w:eastAsia="zh-CN"/>
        </w:rPr>
        <w:t>科</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人员编制</w:t>
      </w:r>
      <w:r>
        <w:rPr>
          <w:rFonts w:hint="eastAsia" w:ascii="仿宋_GB2312" w:hAnsi="仿宋_GB2312" w:eastAsia="仿宋_GB2312" w:cs="仿宋_GB2312"/>
          <w:sz w:val="30"/>
          <w:szCs w:val="30"/>
          <w:lang w:val="en-US" w:eastAsia="zh-CN"/>
        </w:rPr>
        <w:t>11人，年末在职实有人数6人，本年退休5人。退休15人。</w:t>
      </w:r>
    </w:p>
    <w:p>
      <w:pPr>
        <w:numPr>
          <w:ilvl w:val="0"/>
          <w:numId w:val="0"/>
        </w:numPr>
        <w:rPr>
          <w:rFonts w:hint="eastAsia" w:ascii="仿宋_GB2312" w:hAnsi="仿宋_GB2312" w:eastAsia="仿宋_GB2312" w:cs="仿宋_GB2312"/>
          <w:b/>
          <w:bCs/>
          <w:i w:val="0"/>
          <w:caps w:val="0"/>
          <w:color w:val="auto"/>
          <w:spacing w:val="0"/>
          <w:sz w:val="30"/>
          <w:szCs w:val="30"/>
          <w:shd w:val="clear" w:fill="FFFFFF"/>
          <w:lang w:val="en-US" w:eastAsia="zh-CN"/>
        </w:rPr>
      </w:pPr>
      <w:r>
        <w:rPr>
          <w:rFonts w:hint="eastAsia" w:ascii="仿宋_GB2312" w:hAnsi="仿宋_GB2312" w:eastAsia="仿宋_GB2312" w:cs="仿宋_GB2312"/>
          <w:b/>
          <w:bCs/>
          <w:i w:val="0"/>
          <w:caps w:val="0"/>
          <w:color w:val="auto"/>
          <w:spacing w:val="0"/>
          <w:sz w:val="30"/>
          <w:szCs w:val="30"/>
          <w:shd w:val="clear" w:fill="FFFFFF"/>
          <w:lang w:eastAsia="zh-CN"/>
        </w:rPr>
        <w:t>二、</w:t>
      </w:r>
      <w:r>
        <w:rPr>
          <w:rFonts w:hint="eastAsia" w:ascii="仿宋_GB2312" w:hAnsi="仿宋_GB2312" w:eastAsia="仿宋_GB2312" w:cs="仿宋_GB2312"/>
          <w:b/>
          <w:bCs/>
          <w:i w:val="0"/>
          <w:caps w:val="0"/>
          <w:color w:val="auto"/>
          <w:spacing w:val="0"/>
          <w:sz w:val="30"/>
          <w:szCs w:val="30"/>
          <w:shd w:val="clear" w:fill="FFFFFF"/>
          <w:lang w:val="en-US" w:eastAsia="zh-CN"/>
        </w:rPr>
        <w:t>2017收入支出预算执行情况</w:t>
      </w:r>
    </w:p>
    <w:p>
      <w:pPr>
        <w:numPr>
          <w:ilvl w:val="0"/>
          <w:numId w:val="0"/>
        </w:numPr>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eastAsia="zh-CN"/>
        </w:rPr>
        <w:t>（一）</w:t>
      </w:r>
      <w:r>
        <w:rPr>
          <w:rFonts w:hint="eastAsia" w:ascii="仿宋_GB2312" w:hAnsi="仿宋_GB2312" w:eastAsia="仿宋_GB2312" w:cs="仿宋_GB2312"/>
          <w:b/>
          <w:bCs/>
          <w:sz w:val="30"/>
          <w:szCs w:val="30"/>
        </w:rPr>
        <w:t>201</w:t>
      </w:r>
      <w:r>
        <w:rPr>
          <w:rFonts w:hint="eastAsia" w:ascii="仿宋_GB2312" w:hAnsi="仿宋_GB2312" w:eastAsia="仿宋_GB2312" w:cs="仿宋_GB2312"/>
          <w:b/>
          <w:bCs/>
          <w:sz w:val="30"/>
          <w:szCs w:val="30"/>
          <w:lang w:val="en-US" w:eastAsia="zh-CN"/>
        </w:rPr>
        <w:t>7</w:t>
      </w:r>
      <w:r>
        <w:rPr>
          <w:rFonts w:hint="eastAsia" w:ascii="仿宋_GB2312" w:hAnsi="仿宋_GB2312" w:eastAsia="仿宋_GB2312" w:cs="仿宋_GB2312"/>
          <w:b/>
          <w:bCs/>
          <w:sz w:val="30"/>
          <w:szCs w:val="30"/>
        </w:rPr>
        <w:t>年度收入支出决算总体情况</w:t>
      </w:r>
      <w:r>
        <w:rPr>
          <w:rFonts w:hint="eastAsia" w:ascii="仿宋_GB2312" w:hAnsi="仿宋_GB2312" w:eastAsia="仿宋_GB2312" w:cs="仿宋_GB2312"/>
          <w:b/>
          <w:bCs/>
          <w:sz w:val="30"/>
          <w:szCs w:val="30"/>
          <w:lang w:eastAsia="zh-CN"/>
        </w:rPr>
        <w:t>及增减变动</w:t>
      </w:r>
      <w:r>
        <w:rPr>
          <w:rFonts w:hint="eastAsia" w:ascii="仿宋_GB2312" w:hAnsi="仿宋_GB2312" w:eastAsia="仿宋_GB2312" w:cs="仿宋_GB2312"/>
          <w:b/>
          <w:bCs/>
          <w:sz w:val="30"/>
          <w:szCs w:val="30"/>
        </w:rPr>
        <w:t>说明</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 xml:space="preserve">年度收入总计 </w:t>
      </w:r>
      <w:r>
        <w:rPr>
          <w:rFonts w:hint="eastAsia" w:ascii="仿宋_GB2312" w:hAnsi="仿宋_GB2312" w:eastAsia="仿宋_GB2312" w:cs="仿宋_GB2312"/>
          <w:sz w:val="30"/>
          <w:szCs w:val="30"/>
          <w:lang w:val="en-US" w:eastAsia="zh-CN"/>
        </w:rPr>
        <w:t>182.224652万元</w:t>
      </w:r>
      <w:r>
        <w:rPr>
          <w:rFonts w:hint="eastAsia" w:ascii="仿宋_GB2312" w:hAnsi="仿宋_GB2312" w:eastAsia="仿宋_GB2312" w:cs="仿宋_GB2312"/>
          <w:sz w:val="30"/>
          <w:szCs w:val="30"/>
        </w:rPr>
        <w:t>，支出总计</w:t>
      </w:r>
      <w:r>
        <w:rPr>
          <w:rFonts w:hint="eastAsia" w:ascii="仿宋_GB2312" w:hAnsi="仿宋_GB2312" w:eastAsia="仿宋_GB2312" w:cs="仿宋_GB2312"/>
          <w:sz w:val="30"/>
          <w:szCs w:val="30"/>
          <w:lang w:val="en-US" w:eastAsia="zh-CN"/>
        </w:rPr>
        <w:t>182.224652万</w:t>
      </w:r>
      <w:r>
        <w:rPr>
          <w:rFonts w:hint="eastAsia" w:ascii="仿宋_GB2312" w:hAnsi="仿宋_GB2312" w:eastAsia="仿宋_GB2312" w:cs="仿宋_GB2312"/>
          <w:sz w:val="30"/>
          <w:szCs w:val="30"/>
        </w:rPr>
        <w:t>元</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2016年</w:t>
      </w:r>
      <w:r>
        <w:rPr>
          <w:rFonts w:hint="eastAsia" w:ascii="仿宋_GB2312" w:hAnsi="仿宋_GB2312" w:eastAsia="仿宋_GB2312" w:cs="仿宋_GB2312"/>
          <w:sz w:val="30"/>
          <w:szCs w:val="30"/>
        </w:rPr>
        <w:t xml:space="preserve">度收入总计 </w:t>
      </w:r>
      <w:r>
        <w:rPr>
          <w:rFonts w:hint="eastAsia" w:ascii="仿宋_GB2312" w:hAnsi="仿宋_GB2312" w:eastAsia="仿宋_GB2312" w:cs="仿宋_GB2312"/>
          <w:sz w:val="30"/>
          <w:szCs w:val="30"/>
          <w:lang w:val="en-US" w:eastAsia="zh-CN"/>
        </w:rPr>
        <w:t>202.53065万</w:t>
      </w:r>
      <w:r>
        <w:rPr>
          <w:rFonts w:hint="eastAsia" w:ascii="仿宋_GB2312" w:hAnsi="仿宋_GB2312" w:eastAsia="仿宋_GB2312" w:cs="仿宋_GB2312"/>
          <w:sz w:val="30"/>
          <w:szCs w:val="30"/>
        </w:rPr>
        <w:t>元，支出总计</w:t>
      </w:r>
      <w:r>
        <w:rPr>
          <w:rFonts w:hint="eastAsia" w:ascii="仿宋_GB2312" w:hAnsi="仿宋_GB2312" w:eastAsia="仿宋_GB2312" w:cs="仿宋_GB2312"/>
          <w:sz w:val="30"/>
          <w:szCs w:val="30"/>
          <w:lang w:val="en-US" w:eastAsia="zh-CN"/>
        </w:rPr>
        <w:t>202.53065万</w:t>
      </w:r>
      <w:r>
        <w:rPr>
          <w:rFonts w:hint="eastAsia" w:ascii="仿宋_GB2312" w:hAnsi="仿宋_GB2312" w:eastAsia="仿宋_GB2312" w:cs="仿宋_GB2312"/>
          <w:sz w:val="30"/>
          <w:szCs w:val="30"/>
        </w:rPr>
        <w:t>元</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与 201</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年相比，收</w:t>
      </w:r>
      <w:r>
        <w:rPr>
          <w:rFonts w:hint="eastAsia" w:ascii="仿宋_GB2312" w:hAnsi="仿宋_GB2312" w:eastAsia="仿宋_GB2312" w:cs="仿宋_GB2312"/>
          <w:sz w:val="30"/>
          <w:szCs w:val="30"/>
          <w:lang w:eastAsia="zh-CN"/>
        </w:rPr>
        <w:t>入</w:t>
      </w:r>
      <w:r>
        <w:rPr>
          <w:rFonts w:hint="eastAsia" w:ascii="仿宋_GB2312" w:hAnsi="仿宋_GB2312" w:eastAsia="仿宋_GB2312" w:cs="仿宋_GB2312"/>
          <w:sz w:val="30"/>
          <w:szCs w:val="30"/>
        </w:rPr>
        <w:t>总计</w:t>
      </w:r>
      <w:r>
        <w:rPr>
          <w:rFonts w:hint="eastAsia" w:ascii="仿宋_GB2312" w:hAnsi="仿宋_GB2312" w:eastAsia="仿宋_GB2312" w:cs="仿宋_GB2312"/>
          <w:sz w:val="30"/>
          <w:szCs w:val="30"/>
          <w:lang w:val="en-US" w:eastAsia="zh-CN"/>
        </w:rPr>
        <w:t>减少20.305998</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sz w:val="30"/>
          <w:szCs w:val="30"/>
        </w:rPr>
        <w:t>元，</w:t>
      </w:r>
      <w:r>
        <w:rPr>
          <w:rFonts w:hint="eastAsia" w:ascii="仿宋_GB2312" w:hAnsi="仿宋_GB2312" w:eastAsia="仿宋_GB2312" w:cs="仿宋_GB2312"/>
          <w:sz w:val="30"/>
          <w:szCs w:val="30"/>
          <w:lang w:eastAsia="zh-CN"/>
        </w:rPr>
        <w:t>下降</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；支出</w:t>
      </w:r>
      <w:r>
        <w:rPr>
          <w:rFonts w:hint="eastAsia" w:ascii="仿宋_GB2312" w:hAnsi="仿宋_GB2312" w:eastAsia="仿宋_GB2312" w:cs="仿宋_GB2312"/>
          <w:sz w:val="30"/>
          <w:szCs w:val="30"/>
        </w:rPr>
        <w:t>总计</w:t>
      </w:r>
      <w:r>
        <w:rPr>
          <w:rFonts w:hint="eastAsia" w:ascii="仿宋_GB2312" w:hAnsi="仿宋_GB2312" w:eastAsia="仿宋_GB2312" w:cs="仿宋_GB2312"/>
          <w:sz w:val="30"/>
          <w:szCs w:val="30"/>
          <w:lang w:val="en-US" w:eastAsia="zh-CN"/>
        </w:rPr>
        <w:t>减少20.305998万</w:t>
      </w:r>
      <w:r>
        <w:rPr>
          <w:rFonts w:hint="eastAsia" w:ascii="仿宋_GB2312" w:hAnsi="仿宋_GB2312" w:eastAsia="仿宋_GB2312" w:cs="仿宋_GB2312"/>
          <w:sz w:val="30"/>
          <w:szCs w:val="30"/>
        </w:rPr>
        <w:t>元</w:t>
      </w:r>
      <w:r>
        <w:rPr>
          <w:rFonts w:hint="eastAsia" w:ascii="仿宋_GB2312" w:hAnsi="仿宋_GB2312" w:eastAsia="仿宋_GB2312" w:cs="仿宋_GB2312"/>
          <w:sz w:val="30"/>
          <w:szCs w:val="30"/>
          <w:lang w:eastAsia="zh-CN"/>
        </w:rPr>
        <w:t>，下降</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lang w:eastAsia="zh-CN"/>
        </w:rPr>
        <w:t>减少原因：本年度本部门有</w:t>
      </w:r>
      <w:r>
        <w:rPr>
          <w:rFonts w:hint="eastAsia" w:ascii="仿宋_GB2312" w:hAnsi="仿宋_GB2312" w:eastAsia="仿宋_GB2312" w:cs="仿宋_GB2312"/>
          <w:b/>
          <w:bCs/>
          <w:sz w:val="30"/>
          <w:szCs w:val="30"/>
          <w:lang w:val="en-US" w:eastAsia="zh-CN"/>
        </w:rPr>
        <w:t>5人退休。</w:t>
      </w:r>
      <w:r>
        <w:rPr>
          <w:rFonts w:hint="eastAsia" w:ascii="仿宋_GB2312" w:hAnsi="仿宋_GB2312" w:eastAsia="仿宋_GB2312" w:cs="仿宋_GB2312"/>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作图分析：</w:t>
      </w:r>
      <w:r>
        <w:rPr>
          <w:rFonts w:hint="eastAsia" w:ascii="仿宋_GB2312" w:hAnsi="仿宋_GB2312" w:eastAsia="仿宋_GB2312" w:cs="仿宋_GB2312"/>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sz w:val="30"/>
          <w:szCs w:val="30"/>
          <w:lang w:eastAsia="zh-CN"/>
        </w:rPr>
      </w:pPr>
      <w:r>
        <w:rPr>
          <w:rFonts w:hint="eastAsia" w:ascii="楷体_GB2312" w:hAnsi="楷体_GB2312" w:eastAsia="楷体_GB2312" w:cs="楷体_GB2312"/>
          <w:sz w:val="30"/>
          <w:szCs w:val="30"/>
          <w:lang w:val="en-US" w:eastAsia="zh-CN"/>
        </w:rPr>
        <w:drawing>
          <wp:inline distT="0" distB="0" distL="114300" distR="114300">
            <wp:extent cx="4994275" cy="3200400"/>
            <wp:effectExtent l="0" t="0" r="15875"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r>
        <w:rPr>
          <w:rFonts w:hint="eastAsia" w:ascii="仿宋_GB2312" w:hAnsi="仿宋_GB2312" w:eastAsia="仿宋_GB2312" w:cs="仿宋_GB2312"/>
          <w:sz w:val="30"/>
          <w:szCs w:val="30"/>
          <w:lang w:val="en-US" w:eastAsia="zh-CN"/>
        </w:rPr>
        <w:t xml:space="preserve">    </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（二）2017年度收入决算情况说明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本年收入合计182.224652万元，其中：财政拨款收入182.224652万元，占100%；上级补助收入0万元，占0%；事业收入0万元，占0%；经营收入0万元，占0%；附属单位缴款0万元，占0%；其他收入0万元，占0%。</w:t>
      </w:r>
      <w:r>
        <w:rPr>
          <w:rFonts w:hint="eastAsia" w:ascii="仿宋_GB2312" w:hAnsi="仿宋_GB2312" w:eastAsia="仿宋_GB2312" w:cs="仿宋_GB2312"/>
          <w:b/>
          <w:bCs/>
          <w:sz w:val="30"/>
          <w:szCs w:val="30"/>
          <w:lang w:val="en-US" w:eastAsia="zh-CN"/>
        </w:rPr>
        <w:t>作饼状图分析：</w:t>
      </w:r>
      <w:r>
        <w:rPr>
          <w:rFonts w:hint="eastAsia" w:ascii="楷体_GB2312" w:hAnsi="楷体_GB2312" w:eastAsia="楷体_GB2312" w:cs="楷体_GB2312"/>
          <w:sz w:val="30"/>
          <w:szCs w:val="30"/>
          <w:lang w:val="en-US" w:eastAsia="zh-CN"/>
        </w:rPr>
        <w:drawing>
          <wp:inline distT="0" distB="0" distL="114300" distR="114300">
            <wp:extent cx="4869815" cy="2847975"/>
            <wp:effectExtent l="0" t="0" r="6985" b="95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 xml:space="preserve">（三）2017年度支出决算情况说明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本年支出合计182.224652万元，其中：基本支出107.224652万元，占58.8%；项目支出75万元，占41.2%；上缴上级支出0万元,占0%；经营支出0万元，占0%；对附属单位补助支出0万元，占0%。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作饼状图分析。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0"/>
          <w:szCs w:val="30"/>
          <w:lang w:val="en-US" w:eastAsia="zh-CN"/>
        </w:rPr>
      </w:pPr>
      <w:r>
        <w:rPr>
          <w:rFonts w:hint="eastAsia" w:ascii="楷体_GB2312" w:hAnsi="楷体_GB2312" w:eastAsia="楷体_GB2312" w:cs="楷体_GB2312"/>
          <w:b/>
          <w:bCs/>
          <w:sz w:val="30"/>
          <w:szCs w:val="30"/>
          <w:lang w:val="en-US" w:eastAsia="zh-CN"/>
        </w:rPr>
        <w:drawing>
          <wp:inline distT="0" distB="0" distL="114300" distR="114300">
            <wp:extent cx="4775835" cy="3048000"/>
            <wp:effectExtent l="0" t="0" r="5715"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（四）2017年度部门收入支出决算构成情况说明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本年收入</w:t>
      </w:r>
      <w:r>
        <w:rPr>
          <w:rFonts w:hint="eastAsia" w:ascii="仿宋_GB2312" w:hAnsi="仿宋_GB2312" w:eastAsia="仿宋_GB2312" w:cs="仿宋_GB2312"/>
          <w:sz w:val="30"/>
          <w:szCs w:val="30"/>
          <w:lang w:val="en-US" w:eastAsia="zh-CN"/>
        </w:rPr>
        <w:t>182.224652万</w:t>
      </w:r>
      <w:r>
        <w:rPr>
          <w:rFonts w:hint="eastAsia" w:ascii="仿宋_GB2312" w:hAnsi="仿宋_GB2312" w:eastAsia="仿宋_GB2312" w:cs="仿宋_GB2312"/>
          <w:b/>
          <w:bCs/>
          <w:sz w:val="30"/>
          <w:szCs w:val="30"/>
          <w:lang w:val="en-US" w:eastAsia="zh-CN"/>
        </w:rPr>
        <w:t>元，其中：</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财政拨款收入</w:t>
      </w:r>
      <w:r>
        <w:rPr>
          <w:rFonts w:hint="eastAsia" w:ascii="仿宋_GB2312" w:hAnsi="仿宋_GB2312" w:eastAsia="仿宋_GB2312" w:cs="仿宋_GB2312"/>
          <w:sz w:val="30"/>
          <w:szCs w:val="30"/>
          <w:lang w:val="en-US" w:eastAsia="zh-CN"/>
        </w:rPr>
        <w:t>182.224652万</w:t>
      </w:r>
      <w:r>
        <w:rPr>
          <w:rFonts w:hint="eastAsia" w:ascii="仿宋_GB2312" w:hAnsi="仿宋_GB2312" w:eastAsia="仿宋_GB2312" w:cs="仿宋_GB2312"/>
          <w:b w:val="0"/>
          <w:bCs w:val="0"/>
          <w:sz w:val="30"/>
          <w:szCs w:val="30"/>
          <w:lang w:val="en-US" w:eastAsia="zh-CN"/>
        </w:rPr>
        <w:t>元，其中：2160201行政运行78.6515</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元；2010301行政运行6.2003</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元；2080505机关事业单位基本养老保险缴费10.342157</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元；2082702财政对工伤保险基金的补助0.2439006</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元；2082703财政对生育保险基金的补助0.304899</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元；2101101行政单位医疗3.80979</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元；2210201住房公积金补助7.6721</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元；2220504化肥储备15</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元；2160299其他商业流通事务支出12</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元；2139999其他农林水支出48</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2、其他收入0万元.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val="0"/>
          <w:bCs w:val="0"/>
          <w:sz w:val="30"/>
          <w:szCs w:val="30"/>
          <w:lang w:val="en-US" w:eastAsia="zh-CN"/>
        </w:rPr>
        <w:t>3、财政专户资金收入0</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bCs/>
          <w:sz w:val="30"/>
          <w:szCs w:val="30"/>
          <w:lang w:val="en-US" w:eastAsia="zh-CN"/>
        </w:rPr>
        <w:t>本年支出182.224652</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bCs/>
          <w:sz w:val="30"/>
          <w:szCs w:val="30"/>
          <w:lang w:val="en-US" w:eastAsia="zh-CN"/>
        </w:rPr>
        <w:t>元，其中：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1、基本支出107.224652</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元，包括：2160201行政运行款78.6515</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元，为机关人员经费和日常公用经费支出；2010301行政运行款6.2003</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元，为机关人员经费；2080505机关事业单位基本养老保险缴费支出10.342157</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元；2082702财政对工伤保险基金的补助0.243906</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元，为单位职工工伤保险缴费支出；2082703财政对生育保险基金的补助0.304899</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元，为单位职工生育保险缴费支出；2101101行政单位医疗3.80979</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元，为单位职工医疗保险缴费支出；2210201住房公积金7.6721</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元，为单位职工公积金缴费支出。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val="0"/>
          <w:bCs w:val="0"/>
          <w:sz w:val="30"/>
          <w:szCs w:val="30"/>
          <w:lang w:val="en-US" w:eastAsia="zh-CN"/>
        </w:rPr>
        <w:t>2、项目支出75</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元，包括：2220504化肥储备15</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元；2160299掌布供销基层社“三位一体”建设补助12</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元；2139999克度等基层供销社装修补助48</w:t>
      </w:r>
      <w:r>
        <w:rPr>
          <w:rFonts w:hint="eastAsia" w:ascii="仿宋_GB2312" w:hAnsi="仿宋_GB2312" w:eastAsia="仿宋_GB2312" w:cs="仿宋_GB2312"/>
          <w:sz w:val="30"/>
          <w:szCs w:val="30"/>
          <w:lang w:val="en-US" w:eastAsia="zh-CN"/>
        </w:rPr>
        <w:t>万</w:t>
      </w:r>
      <w:r>
        <w:rPr>
          <w:rFonts w:hint="eastAsia" w:ascii="仿宋_GB2312" w:hAnsi="仿宋_GB2312" w:eastAsia="仿宋_GB2312" w:cs="仿宋_GB2312"/>
          <w:b w:val="0"/>
          <w:bCs w:val="0"/>
          <w:sz w:val="30"/>
          <w:szCs w:val="30"/>
          <w:lang w:val="en-US" w:eastAsia="zh-CN"/>
        </w:rPr>
        <w:t>元。</w:t>
      </w:r>
    </w:p>
    <w:p>
      <w:pPr>
        <w:numPr>
          <w:ilvl w:val="0"/>
          <w:numId w:val="0"/>
        </w:numPr>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四、机关运行经费执行情况说明</w:t>
      </w:r>
    </w:p>
    <w:p>
      <w:pPr>
        <w:numPr>
          <w:ilvl w:val="0"/>
          <w:numId w:val="0"/>
        </w:numPr>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sz w:val="30"/>
          <w:szCs w:val="30"/>
          <w:lang w:val="en-US" w:eastAsia="zh-CN"/>
        </w:rPr>
        <w:t xml:space="preserve">    2017年本单位机关运行经费支出2.3652万元，办公费2.3652万元，比2016年减少1.581928万元，下降40%。</w:t>
      </w:r>
      <w:r>
        <w:rPr>
          <w:rFonts w:hint="eastAsia" w:ascii="仿宋_GB2312" w:hAnsi="仿宋_GB2312" w:eastAsia="仿宋_GB2312" w:cs="仿宋_GB2312"/>
          <w:b/>
          <w:bCs/>
          <w:sz w:val="30"/>
          <w:szCs w:val="30"/>
          <w:lang w:val="en-US" w:eastAsia="zh-CN"/>
        </w:rPr>
        <w:t>减少主要原因是：人员退休减少。</w:t>
      </w:r>
    </w:p>
    <w:p>
      <w:pPr>
        <w:numPr>
          <w:ilvl w:val="0"/>
          <w:numId w:val="0"/>
        </w:numPr>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五、政府采购执行情况说明</w:t>
      </w:r>
    </w:p>
    <w:p>
      <w:pPr>
        <w:numPr>
          <w:ilvl w:val="0"/>
          <w:numId w:val="0"/>
        </w:numPr>
        <w:ind w:firstLine="64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2017年度，本单位无政府采购。</w:t>
      </w:r>
    </w:p>
    <w:p>
      <w:pPr>
        <w:numPr>
          <w:ilvl w:val="0"/>
          <w:numId w:val="0"/>
        </w:numPr>
        <w:rPr>
          <w:rFonts w:hint="eastAsia" w:ascii="仿宋_GB2312" w:hAnsi="仿宋_GB2312" w:eastAsia="仿宋_GB2312" w:cs="仿宋_GB2312"/>
          <w:b/>
          <w:bCs/>
          <w:i w:val="0"/>
          <w:caps w:val="0"/>
          <w:color w:val="212121"/>
          <w:spacing w:val="0"/>
          <w:sz w:val="30"/>
          <w:szCs w:val="30"/>
          <w:shd w:val="clear" w:fill="FFFFFF"/>
          <w:lang w:val="en-US" w:eastAsia="zh-CN"/>
        </w:rPr>
      </w:pPr>
      <w:r>
        <w:rPr>
          <w:rFonts w:hint="eastAsia" w:ascii="仿宋_GB2312" w:hAnsi="仿宋_GB2312" w:eastAsia="仿宋_GB2312" w:cs="仿宋_GB2312"/>
          <w:b/>
          <w:bCs/>
          <w:i w:val="0"/>
          <w:caps w:val="0"/>
          <w:color w:val="212121"/>
          <w:spacing w:val="0"/>
          <w:sz w:val="30"/>
          <w:szCs w:val="30"/>
          <w:shd w:val="clear" w:fill="FFFFFF"/>
          <w:lang w:val="en-US" w:eastAsia="zh-CN"/>
        </w:rPr>
        <w:t>六、政府性基金收支执行情况说明</w:t>
      </w:r>
    </w:p>
    <w:p>
      <w:pPr>
        <w:numPr>
          <w:ilvl w:val="0"/>
          <w:numId w:val="0"/>
        </w:num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本单位无政府性基金。</w:t>
      </w:r>
    </w:p>
    <w:p>
      <w:pPr>
        <w:numPr>
          <w:ilvl w:val="0"/>
          <w:numId w:val="6"/>
        </w:numPr>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结转结余情况</w:t>
      </w:r>
    </w:p>
    <w:p>
      <w:pPr>
        <w:numPr>
          <w:ilvl w:val="0"/>
          <w:numId w:val="0"/>
        </w:numPr>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 xml:space="preserve">   2017</w:t>
      </w:r>
      <w:r>
        <w:rPr>
          <w:rFonts w:hint="eastAsia" w:ascii="仿宋_GB2312" w:hAnsi="仿宋_GB2312" w:eastAsia="仿宋_GB2312" w:cs="仿宋_GB2312"/>
          <w:b w:val="0"/>
          <w:bCs w:val="0"/>
          <w:sz w:val="30"/>
          <w:szCs w:val="30"/>
          <w:lang w:val="en-US" w:eastAsia="zh-CN"/>
        </w:rPr>
        <w:t>年末</w:t>
      </w:r>
      <w:r>
        <w:rPr>
          <w:rFonts w:hint="eastAsia" w:ascii="仿宋_GB2312" w:hAnsi="仿宋_GB2312" w:eastAsia="仿宋_GB2312" w:cs="仿宋_GB2312"/>
          <w:sz w:val="30"/>
          <w:szCs w:val="30"/>
          <w:lang w:val="en-US" w:eastAsia="zh-CN"/>
        </w:rPr>
        <w:t>本单位无</w:t>
      </w:r>
      <w:r>
        <w:rPr>
          <w:rFonts w:hint="eastAsia" w:ascii="仿宋_GB2312" w:hAnsi="仿宋_GB2312" w:eastAsia="仿宋_GB2312" w:cs="仿宋_GB2312"/>
          <w:b w:val="0"/>
          <w:bCs w:val="0"/>
          <w:sz w:val="30"/>
          <w:szCs w:val="30"/>
          <w:lang w:val="en-US" w:eastAsia="zh-CN"/>
        </w:rPr>
        <w:t>结转结余。</w:t>
      </w:r>
    </w:p>
    <w:p>
      <w:pPr>
        <w:numPr>
          <w:ilvl w:val="0"/>
          <w:numId w:val="0"/>
        </w:numPr>
        <w:rPr>
          <w:rFonts w:hint="eastAsia" w:ascii="仿宋_GB2312" w:hAnsi="仿宋_GB2312" w:eastAsia="仿宋_GB2312" w:cs="仿宋_GB2312"/>
          <w:b/>
          <w:i w:val="0"/>
          <w:caps w:val="0"/>
          <w:color w:val="auto"/>
          <w:spacing w:val="0"/>
          <w:sz w:val="30"/>
          <w:szCs w:val="30"/>
          <w:shd w:val="clear" w:fill="FFFFFF"/>
        </w:rPr>
      </w:pPr>
      <w:r>
        <w:rPr>
          <w:rFonts w:hint="eastAsia" w:ascii="仿宋_GB2312" w:hAnsi="仿宋_GB2312" w:eastAsia="仿宋_GB2312" w:cs="仿宋_GB2312"/>
          <w:b/>
          <w:i w:val="0"/>
          <w:caps w:val="0"/>
          <w:color w:val="auto"/>
          <w:spacing w:val="0"/>
          <w:sz w:val="30"/>
          <w:szCs w:val="30"/>
          <w:shd w:val="clear" w:fill="FFFFFF"/>
          <w:lang w:eastAsia="zh-CN"/>
        </w:rPr>
        <w:t>八、</w:t>
      </w:r>
      <w:r>
        <w:rPr>
          <w:rFonts w:hint="eastAsia" w:ascii="仿宋_GB2312" w:hAnsi="仿宋_GB2312" w:eastAsia="仿宋_GB2312" w:cs="仿宋_GB2312"/>
          <w:b/>
          <w:i w:val="0"/>
          <w:caps w:val="0"/>
          <w:color w:val="auto"/>
          <w:spacing w:val="0"/>
          <w:sz w:val="30"/>
          <w:szCs w:val="30"/>
          <w:shd w:val="clear" w:fill="FFFFFF"/>
        </w:rPr>
        <w:t>国有资产占用情况</w:t>
      </w:r>
    </w:p>
    <w:p>
      <w:pPr>
        <w:numPr>
          <w:ilvl w:val="0"/>
          <w:numId w:val="0"/>
        </w:numPr>
        <w:ind w:firstLine="600" w:firstLineChars="200"/>
        <w:rPr>
          <w:rFonts w:hint="eastAsia" w:ascii="楷体_GB2312" w:hAnsi="楷体_GB2312" w:eastAsia="楷体_GB2312" w:cs="楷体_GB2312"/>
          <w:b w:val="0"/>
          <w:i w:val="0"/>
          <w:caps w:val="0"/>
          <w:color w:val="auto"/>
          <w:spacing w:val="0"/>
          <w:sz w:val="30"/>
          <w:szCs w:val="30"/>
          <w:shd w:val="clear" w:fill="FFFFFF"/>
        </w:rPr>
      </w:pPr>
      <w:r>
        <w:rPr>
          <w:rFonts w:hint="eastAsia" w:ascii="仿宋_GB2312" w:hAnsi="仿宋_GB2312" w:eastAsia="仿宋_GB2312" w:cs="仿宋_GB2312"/>
          <w:sz w:val="30"/>
          <w:szCs w:val="30"/>
        </w:rPr>
        <w:t>截至 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 xml:space="preserve"> 年 12 月 31 日，</w:t>
      </w:r>
      <w:r>
        <w:rPr>
          <w:rFonts w:hint="eastAsia" w:ascii="仿宋_GB2312" w:hAnsi="仿宋_GB2312" w:eastAsia="仿宋_GB2312" w:cs="仿宋_GB2312"/>
          <w:sz w:val="30"/>
          <w:szCs w:val="30"/>
          <w:lang w:eastAsia="zh-CN"/>
        </w:rPr>
        <w:t>我单位无</w:t>
      </w:r>
      <w:r>
        <w:rPr>
          <w:rFonts w:hint="eastAsia" w:ascii="仿宋_GB2312" w:hAnsi="仿宋_GB2312" w:eastAsia="仿宋_GB2312" w:cs="仿宋_GB2312"/>
          <w:sz w:val="30"/>
          <w:szCs w:val="30"/>
        </w:rPr>
        <w:t xml:space="preserve">车辆 </w:t>
      </w:r>
      <w:r>
        <w:rPr>
          <w:rFonts w:hint="eastAsia" w:ascii="仿宋_GB2312" w:hAnsi="仿宋_GB2312" w:eastAsia="仿宋_GB2312" w:cs="仿宋_GB2312"/>
          <w:sz w:val="30"/>
          <w:szCs w:val="30"/>
          <w:lang w:eastAsia="zh-CN"/>
        </w:rPr>
        <w:t>。</w:t>
      </w:r>
      <w:r>
        <w:rPr>
          <w:rFonts w:hint="eastAsia" w:ascii="楷体_GB2312" w:hAnsi="楷体_GB2312" w:eastAsia="楷体_GB2312" w:cs="楷体_GB2312"/>
          <w:sz w:val="30"/>
          <w:szCs w:val="30"/>
        </w:rPr>
        <w:t xml:space="preserve">其中：单价 </w:t>
      </w:r>
      <w:r>
        <w:rPr>
          <w:rFonts w:hint="eastAsia" w:ascii="楷体_GB2312" w:hAnsi="楷体_GB2312" w:eastAsia="楷体_GB2312" w:cs="楷体_GB2312"/>
          <w:sz w:val="30"/>
          <w:szCs w:val="30"/>
          <w:lang w:val="en-US" w:eastAsia="zh-CN"/>
        </w:rPr>
        <w:t>50</w:t>
      </w:r>
      <w:r>
        <w:rPr>
          <w:rFonts w:hint="eastAsia" w:ascii="楷体_GB2312" w:hAnsi="楷体_GB2312" w:eastAsia="楷体_GB2312" w:cs="楷体_GB2312"/>
          <w:sz w:val="30"/>
          <w:szCs w:val="30"/>
        </w:rPr>
        <w:t>万元</w:t>
      </w:r>
      <w:r>
        <w:rPr>
          <w:rFonts w:hint="eastAsia" w:ascii="楷体_GB2312" w:hAnsi="楷体_GB2312" w:eastAsia="楷体_GB2312" w:cs="楷体_GB2312"/>
          <w:sz w:val="30"/>
          <w:szCs w:val="30"/>
          <w:lang w:val="en-US" w:eastAsia="zh-CN"/>
        </w:rPr>
        <w:t>(含50万)</w:t>
      </w:r>
      <w:r>
        <w:rPr>
          <w:rFonts w:hint="eastAsia" w:ascii="楷体_GB2312" w:hAnsi="楷体_GB2312" w:eastAsia="楷体_GB2312" w:cs="楷体_GB2312"/>
          <w:sz w:val="30"/>
          <w:szCs w:val="30"/>
        </w:rPr>
        <w:t xml:space="preserve"> 以上通用设备 </w:t>
      </w:r>
      <w:r>
        <w:rPr>
          <w:rFonts w:hint="eastAsia" w:ascii="楷体_GB2312" w:hAnsi="楷体_GB2312" w:eastAsia="楷体_GB2312" w:cs="楷体_GB2312"/>
          <w:sz w:val="30"/>
          <w:szCs w:val="30"/>
          <w:lang w:val="en-US" w:eastAsia="zh-CN"/>
        </w:rPr>
        <w:t>0</w:t>
      </w:r>
      <w:r>
        <w:rPr>
          <w:rFonts w:hint="eastAsia" w:ascii="楷体_GB2312" w:hAnsi="楷体_GB2312" w:eastAsia="楷体_GB2312" w:cs="楷体_GB2312"/>
          <w:sz w:val="30"/>
          <w:szCs w:val="30"/>
        </w:rPr>
        <w:t xml:space="preserve">台（套），单价 </w:t>
      </w:r>
      <w:r>
        <w:rPr>
          <w:rFonts w:hint="eastAsia" w:ascii="楷体_GB2312" w:hAnsi="楷体_GB2312" w:eastAsia="楷体_GB2312" w:cs="楷体_GB2312"/>
          <w:sz w:val="30"/>
          <w:szCs w:val="30"/>
          <w:lang w:val="en-US" w:eastAsia="zh-CN"/>
        </w:rPr>
        <w:t>1OO</w:t>
      </w:r>
      <w:r>
        <w:rPr>
          <w:rFonts w:hint="eastAsia" w:ascii="楷体_GB2312" w:hAnsi="楷体_GB2312" w:eastAsia="楷体_GB2312" w:cs="楷体_GB2312"/>
          <w:sz w:val="30"/>
          <w:szCs w:val="30"/>
        </w:rPr>
        <w:t>万元</w:t>
      </w:r>
      <w:r>
        <w:rPr>
          <w:rFonts w:hint="eastAsia" w:ascii="楷体_GB2312" w:hAnsi="楷体_GB2312" w:eastAsia="楷体_GB2312" w:cs="楷体_GB2312"/>
          <w:sz w:val="30"/>
          <w:szCs w:val="30"/>
          <w:lang w:eastAsia="zh-CN"/>
        </w:rPr>
        <w:t>（含</w:t>
      </w:r>
      <w:r>
        <w:rPr>
          <w:rFonts w:hint="eastAsia" w:ascii="楷体_GB2312" w:hAnsi="楷体_GB2312" w:eastAsia="楷体_GB2312" w:cs="楷体_GB2312"/>
          <w:sz w:val="30"/>
          <w:szCs w:val="30"/>
          <w:lang w:val="en-US" w:eastAsia="zh-CN"/>
        </w:rPr>
        <w:t>100万元</w:t>
      </w:r>
      <w:r>
        <w:rPr>
          <w:rFonts w:hint="eastAsia" w:ascii="楷体_GB2312" w:hAnsi="楷体_GB2312" w:eastAsia="楷体_GB2312" w:cs="楷体_GB2312"/>
          <w:sz w:val="30"/>
          <w:szCs w:val="30"/>
          <w:lang w:eastAsia="zh-CN"/>
        </w:rPr>
        <w:t>）</w:t>
      </w:r>
      <w:r>
        <w:rPr>
          <w:rFonts w:hint="eastAsia" w:ascii="楷体_GB2312" w:hAnsi="楷体_GB2312" w:eastAsia="楷体_GB2312" w:cs="楷体_GB2312"/>
          <w:sz w:val="30"/>
          <w:szCs w:val="30"/>
        </w:rPr>
        <w:t xml:space="preserve">以上专用设备 </w:t>
      </w:r>
      <w:r>
        <w:rPr>
          <w:rFonts w:hint="eastAsia" w:ascii="楷体_GB2312" w:hAnsi="楷体_GB2312" w:eastAsia="楷体_GB2312" w:cs="楷体_GB2312"/>
          <w:sz w:val="30"/>
          <w:szCs w:val="30"/>
          <w:lang w:val="en-US" w:eastAsia="zh-CN"/>
        </w:rPr>
        <w:t>0</w:t>
      </w:r>
      <w:r>
        <w:rPr>
          <w:rFonts w:hint="eastAsia" w:ascii="楷体_GB2312" w:hAnsi="楷体_GB2312" w:eastAsia="楷体_GB2312" w:cs="楷体_GB2312"/>
          <w:sz w:val="30"/>
          <w:szCs w:val="30"/>
        </w:rPr>
        <w:t>台（套</w:t>
      </w:r>
      <w:r>
        <w:rPr>
          <w:rFonts w:hint="eastAsia" w:ascii="楷体_GB2312" w:hAnsi="楷体_GB2312" w:eastAsia="楷体_GB2312" w:cs="楷体_GB2312"/>
          <w:sz w:val="30"/>
          <w:szCs w:val="30"/>
          <w:lang w:val="en-US" w:eastAsia="zh-CN"/>
        </w:rPr>
        <w:t>)</w:t>
      </w:r>
      <w:r>
        <w:rPr>
          <w:rFonts w:hint="eastAsia" w:ascii="楷体_GB2312" w:hAnsi="楷体_GB2312" w:eastAsia="楷体_GB2312" w:cs="楷体_GB2312"/>
          <w:b w:val="0"/>
          <w:i w:val="0"/>
          <w:caps w:val="0"/>
          <w:color w:val="auto"/>
          <w:spacing w:val="0"/>
          <w:sz w:val="30"/>
          <w:szCs w:val="30"/>
          <w:shd w:val="clear" w:fill="FFFFFF"/>
        </w:rPr>
        <w:t>。</w:t>
      </w:r>
    </w:p>
    <w:p>
      <w:pPr>
        <w:keepNext w:val="0"/>
        <w:keepLines w:val="0"/>
        <w:widowControl/>
        <w:numPr>
          <w:ilvl w:val="0"/>
          <w:numId w:val="0"/>
        </w:numPr>
        <w:suppressLineNumbers w:val="0"/>
        <w:shd w:val="clear" w:fill="FFFFFF"/>
        <w:tabs>
          <w:tab w:val="left" w:pos="456"/>
        </w:tabs>
        <w:spacing w:before="0" w:beforeAutospacing="1" w:after="0" w:afterAutospacing="1" w:line="560" w:lineRule="atLeast"/>
        <w:ind w:right="0" w:rightChars="0"/>
        <w:jc w:val="left"/>
        <w:rPr>
          <w:rFonts w:hint="eastAsia" w:ascii="仿宋_GB2312" w:hAnsi="仿宋_GB2312" w:eastAsia="仿宋_GB2312" w:cs="仿宋_GB2312"/>
          <w:b/>
          <w:i w:val="0"/>
          <w:caps w:val="0"/>
          <w:color w:val="auto"/>
          <w:spacing w:val="0"/>
          <w:kern w:val="0"/>
          <w:sz w:val="30"/>
          <w:szCs w:val="30"/>
          <w:shd w:val="clear" w:fill="FFFFFF"/>
          <w:lang w:val="en-US" w:eastAsia="zh-CN" w:bidi="ar"/>
        </w:rPr>
      </w:pPr>
      <w:r>
        <w:rPr>
          <w:rFonts w:hint="eastAsia" w:ascii="仿宋_GB2312" w:hAnsi="仿宋_GB2312" w:eastAsia="仿宋_GB2312" w:cs="仿宋_GB2312"/>
          <w:b/>
          <w:i w:val="0"/>
          <w:caps w:val="0"/>
          <w:color w:val="auto"/>
          <w:spacing w:val="0"/>
          <w:kern w:val="0"/>
          <w:sz w:val="30"/>
          <w:szCs w:val="30"/>
          <w:shd w:val="clear" w:fill="FFFFFF"/>
          <w:lang w:val="en-US" w:eastAsia="zh-CN" w:bidi="ar"/>
        </w:rPr>
        <w:t>九、预算绩效管理工作开展情况。</w:t>
      </w:r>
    </w:p>
    <w:p>
      <w:pPr>
        <w:keepNext w:val="0"/>
        <w:keepLines w:val="0"/>
        <w:widowControl/>
        <w:numPr>
          <w:ilvl w:val="0"/>
          <w:numId w:val="0"/>
        </w:numPr>
        <w:suppressLineNumbers w:val="0"/>
        <w:shd w:val="clear" w:fill="FFFFFF"/>
        <w:spacing w:before="0" w:beforeAutospacing="1" w:after="0" w:afterAutospacing="1" w:line="560" w:lineRule="atLeast"/>
        <w:ind w:right="0" w:rightChars="0" w:firstLine="600" w:firstLineChars="200"/>
        <w:jc w:val="left"/>
        <w:rPr>
          <w:rFonts w:hint="eastAsia" w:ascii="仿宋_GB2312" w:hAnsi="仿宋_GB2312" w:eastAsia="仿宋_GB2312" w:cs="仿宋_GB2312"/>
          <w:b w:val="0"/>
          <w:bCs/>
          <w:i w:val="0"/>
          <w:caps w:val="0"/>
          <w:color w:val="auto"/>
          <w:spacing w:val="0"/>
          <w:kern w:val="0"/>
          <w:sz w:val="30"/>
          <w:szCs w:val="30"/>
          <w:shd w:val="clear" w:fill="FFFFFF"/>
          <w:lang w:val="en-US" w:eastAsia="zh-CN" w:bidi="ar"/>
        </w:rPr>
      </w:pPr>
      <w:r>
        <w:rPr>
          <w:rFonts w:hint="eastAsia" w:ascii="仿宋_GB2312" w:hAnsi="仿宋_GB2312" w:eastAsia="仿宋_GB2312" w:cs="仿宋_GB2312"/>
          <w:b w:val="0"/>
          <w:bCs/>
          <w:i w:val="0"/>
          <w:caps w:val="0"/>
          <w:color w:val="auto"/>
          <w:spacing w:val="0"/>
          <w:kern w:val="0"/>
          <w:sz w:val="30"/>
          <w:szCs w:val="30"/>
          <w:shd w:val="clear" w:fill="FFFFFF"/>
          <w:lang w:val="en-US" w:eastAsia="zh-CN" w:bidi="ar"/>
        </w:rPr>
        <w:t>有开展绩效管理。本单位以实现绩效目标为导向，建立健全绩效管理工作机制，明确责任分工，努力提高绩效管理水平。</w:t>
      </w:r>
    </w:p>
    <w:p>
      <w:pPr>
        <w:numPr>
          <w:ilvl w:val="0"/>
          <w:numId w:val="0"/>
        </w:numPr>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十、三公经费变化情况</w:t>
      </w:r>
    </w:p>
    <w:p>
      <w:pPr>
        <w:numPr>
          <w:ilvl w:val="0"/>
          <w:numId w:val="0"/>
        </w:numPr>
        <w:rPr>
          <w:rFonts w:hint="eastAsia" w:ascii="仿宋_GB2312" w:hAnsi="仿宋_GB2312" w:eastAsia="仿宋_GB2312" w:cs="仿宋_GB2312"/>
          <w:b w:val="0"/>
          <w:i w:val="0"/>
          <w:caps w:val="0"/>
          <w:color w:val="auto"/>
          <w:spacing w:val="0"/>
          <w:sz w:val="30"/>
          <w:szCs w:val="30"/>
          <w:shd w:val="clear" w:fill="FFFFFF"/>
        </w:rPr>
      </w:pPr>
      <w:r>
        <w:rPr>
          <w:rFonts w:hint="eastAsia" w:ascii="仿宋_GB2312" w:hAnsi="仿宋_GB2312" w:eastAsia="仿宋_GB2312" w:cs="仿宋_GB2312"/>
          <w:b/>
          <w:bCs/>
          <w:sz w:val="30"/>
          <w:szCs w:val="30"/>
          <w:lang w:val="en-US" w:eastAsia="zh-CN"/>
        </w:rPr>
        <w:t xml:space="preserve">  </w:t>
      </w:r>
      <w:r>
        <w:rPr>
          <w:rFonts w:hint="eastAsia" w:ascii="仿宋_GB2312" w:hAnsi="仿宋_GB2312" w:eastAsia="仿宋_GB2312" w:cs="仿宋_GB2312"/>
          <w:b/>
          <w:bCs/>
          <w:color w:val="auto"/>
          <w:sz w:val="30"/>
          <w:szCs w:val="30"/>
          <w:lang w:val="en-US" w:eastAsia="zh-CN"/>
        </w:rPr>
        <w:t xml:space="preserve"> </w:t>
      </w:r>
      <w:r>
        <w:rPr>
          <w:rFonts w:hint="eastAsia" w:ascii="仿宋_GB2312" w:hAnsi="仿宋_GB2312" w:eastAsia="仿宋_GB2312" w:cs="仿宋_GB2312"/>
          <w:b w:val="0"/>
          <w:i w:val="0"/>
          <w:caps w:val="0"/>
          <w:color w:val="auto"/>
          <w:spacing w:val="0"/>
          <w:sz w:val="30"/>
          <w:szCs w:val="30"/>
          <w:shd w:val="clear" w:fill="FFFFFF"/>
        </w:rPr>
        <w:t>201</w:t>
      </w:r>
      <w:r>
        <w:rPr>
          <w:rFonts w:hint="eastAsia" w:ascii="仿宋_GB2312" w:hAnsi="仿宋_GB2312" w:eastAsia="仿宋_GB2312" w:cs="仿宋_GB2312"/>
          <w:b w:val="0"/>
          <w:i w:val="0"/>
          <w:caps w:val="0"/>
          <w:color w:val="auto"/>
          <w:spacing w:val="0"/>
          <w:sz w:val="30"/>
          <w:szCs w:val="30"/>
          <w:shd w:val="clear" w:fill="FFFFFF"/>
          <w:lang w:val="en-US" w:eastAsia="zh-CN"/>
        </w:rPr>
        <w:t>7</w:t>
      </w:r>
      <w:r>
        <w:rPr>
          <w:rFonts w:hint="eastAsia" w:ascii="仿宋_GB2312" w:hAnsi="仿宋_GB2312" w:eastAsia="仿宋_GB2312" w:cs="仿宋_GB2312"/>
          <w:b w:val="0"/>
          <w:i w:val="0"/>
          <w:caps w:val="0"/>
          <w:color w:val="auto"/>
          <w:spacing w:val="0"/>
          <w:sz w:val="30"/>
          <w:szCs w:val="30"/>
          <w:shd w:val="clear" w:fill="FFFFFF"/>
        </w:rPr>
        <w:t>年我单位“三公”经费公共预算财政拨款决算支出</w:t>
      </w:r>
      <w:r>
        <w:rPr>
          <w:rFonts w:hint="eastAsia" w:ascii="仿宋_GB2312" w:hAnsi="仿宋_GB2312" w:eastAsia="仿宋_GB2312" w:cs="仿宋_GB2312"/>
          <w:b w:val="0"/>
          <w:i w:val="0"/>
          <w:caps w:val="0"/>
          <w:color w:val="auto"/>
          <w:spacing w:val="0"/>
          <w:sz w:val="30"/>
          <w:szCs w:val="30"/>
          <w:shd w:val="clear" w:fill="FFFFFF"/>
          <w:lang w:val="en-US" w:eastAsia="zh-CN"/>
        </w:rPr>
        <w:t>0万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auto"/>
          <w:spacing w:val="0"/>
          <w:sz w:val="30"/>
          <w:szCs w:val="30"/>
          <w:shd w:val="clear" w:fill="FFFFFF"/>
          <w:lang w:val="en-US" w:eastAsia="zh-CN"/>
        </w:rPr>
        <w:t>2016年</w:t>
      </w:r>
      <w:r>
        <w:rPr>
          <w:rFonts w:hint="eastAsia" w:ascii="仿宋_GB2312" w:hAnsi="仿宋_GB2312" w:eastAsia="仿宋_GB2312" w:cs="仿宋_GB2312"/>
          <w:b w:val="0"/>
          <w:i w:val="0"/>
          <w:caps w:val="0"/>
          <w:color w:val="auto"/>
          <w:spacing w:val="0"/>
          <w:sz w:val="30"/>
          <w:szCs w:val="30"/>
          <w:shd w:val="clear" w:fill="FFFFFF"/>
        </w:rPr>
        <w:t>“三公”经费公共预算财政拨款决算支出</w:t>
      </w:r>
      <w:r>
        <w:rPr>
          <w:rFonts w:hint="eastAsia" w:ascii="仿宋_GB2312" w:hAnsi="仿宋_GB2312" w:eastAsia="仿宋_GB2312" w:cs="仿宋_GB2312"/>
          <w:b w:val="0"/>
          <w:i w:val="0"/>
          <w:caps w:val="0"/>
          <w:color w:val="auto"/>
          <w:spacing w:val="0"/>
          <w:sz w:val="30"/>
          <w:szCs w:val="30"/>
          <w:shd w:val="clear" w:fill="FFFFFF"/>
          <w:lang w:val="en-US" w:eastAsia="zh-CN"/>
        </w:rPr>
        <w:t>0万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auto"/>
          <w:spacing w:val="0"/>
          <w:sz w:val="30"/>
          <w:szCs w:val="30"/>
          <w:shd w:val="clear" w:fill="FFFFFF"/>
          <w:lang w:eastAsia="zh-CN"/>
        </w:rPr>
        <w:t>，</w:t>
      </w:r>
      <w:r>
        <w:rPr>
          <w:rFonts w:hint="eastAsia" w:ascii="仿宋_GB2312" w:hAnsi="仿宋_GB2312" w:eastAsia="仿宋_GB2312" w:cs="仿宋_GB2312"/>
          <w:b w:val="0"/>
          <w:i w:val="0"/>
          <w:caps w:val="0"/>
          <w:color w:val="auto"/>
          <w:spacing w:val="0"/>
          <w:sz w:val="30"/>
          <w:szCs w:val="30"/>
          <w:shd w:val="clear" w:fill="FFFFFF"/>
        </w:rPr>
        <w:t>比上年</w:t>
      </w:r>
      <w:r>
        <w:rPr>
          <w:rFonts w:hint="eastAsia" w:ascii="仿宋_GB2312" w:hAnsi="仿宋_GB2312" w:eastAsia="仿宋_GB2312" w:cs="仿宋_GB2312"/>
          <w:b w:val="0"/>
          <w:i w:val="0"/>
          <w:caps w:val="0"/>
          <w:color w:val="auto"/>
          <w:spacing w:val="0"/>
          <w:sz w:val="30"/>
          <w:szCs w:val="30"/>
          <w:shd w:val="clear" w:fill="FFFFFF"/>
          <w:lang w:eastAsia="zh-CN"/>
        </w:rPr>
        <w:t>增加</w:t>
      </w:r>
      <w:r>
        <w:rPr>
          <w:rFonts w:hint="eastAsia" w:ascii="仿宋_GB2312" w:hAnsi="仿宋_GB2312" w:eastAsia="仿宋_GB2312" w:cs="仿宋_GB2312"/>
          <w:b w:val="0"/>
          <w:i w:val="0"/>
          <w:caps w:val="0"/>
          <w:color w:val="auto"/>
          <w:spacing w:val="0"/>
          <w:sz w:val="30"/>
          <w:szCs w:val="30"/>
          <w:shd w:val="clear" w:fill="FFFFFF"/>
          <w:lang w:val="en-US" w:eastAsia="zh-CN"/>
        </w:rPr>
        <w:t>(</w:t>
      </w:r>
      <w:r>
        <w:rPr>
          <w:rFonts w:hint="eastAsia" w:ascii="仿宋_GB2312" w:hAnsi="仿宋_GB2312" w:eastAsia="仿宋_GB2312" w:cs="仿宋_GB2312"/>
          <w:b w:val="0"/>
          <w:i w:val="0"/>
          <w:caps w:val="0"/>
          <w:color w:val="auto"/>
          <w:spacing w:val="0"/>
          <w:sz w:val="30"/>
          <w:szCs w:val="30"/>
          <w:shd w:val="clear" w:fill="FFFFFF"/>
        </w:rPr>
        <w:t>减少</w:t>
      </w:r>
      <w:r>
        <w:rPr>
          <w:rFonts w:hint="eastAsia" w:ascii="仿宋_GB2312" w:hAnsi="仿宋_GB2312" w:eastAsia="仿宋_GB2312" w:cs="仿宋_GB2312"/>
          <w:b w:val="0"/>
          <w:i w:val="0"/>
          <w:caps w:val="0"/>
          <w:color w:val="auto"/>
          <w:spacing w:val="0"/>
          <w:sz w:val="30"/>
          <w:szCs w:val="30"/>
          <w:shd w:val="clear" w:fill="FFFFFF"/>
          <w:lang w:val="en-US" w:eastAsia="zh-CN"/>
        </w:rPr>
        <w:t>)0万</w:t>
      </w:r>
      <w:r>
        <w:rPr>
          <w:rFonts w:hint="eastAsia" w:ascii="仿宋_GB2312" w:hAnsi="仿宋_GB2312" w:eastAsia="仿宋_GB2312" w:cs="仿宋_GB2312"/>
          <w:b w:val="0"/>
          <w:i w:val="0"/>
          <w:caps w:val="0"/>
          <w:color w:val="auto"/>
          <w:spacing w:val="0"/>
          <w:sz w:val="30"/>
          <w:szCs w:val="30"/>
          <w:shd w:val="clear" w:fill="FFFFFF"/>
        </w:rPr>
        <w:t>元，同比</w:t>
      </w:r>
      <w:r>
        <w:rPr>
          <w:rFonts w:hint="eastAsia" w:ascii="仿宋_GB2312" w:hAnsi="仿宋_GB2312" w:eastAsia="仿宋_GB2312" w:cs="仿宋_GB2312"/>
          <w:b w:val="0"/>
          <w:i w:val="0"/>
          <w:caps w:val="0"/>
          <w:color w:val="auto"/>
          <w:spacing w:val="0"/>
          <w:sz w:val="30"/>
          <w:szCs w:val="30"/>
          <w:shd w:val="clear" w:fill="FFFFFF"/>
          <w:lang w:eastAsia="zh-CN"/>
        </w:rPr>
        <w:t>增长（</w:t>
      </w:r>
      <w:r>
        <w:rPr>
          <w:rFonts w:hint="eastAsia" w:ascii="仿宋_GB2312" w:hAnsi="仿宋_GB2312" w:eastAsia="仿宋_GB2312" w:cs="仿宋_GB2312"/>
          <w:b w:val="0"/>
          <w:i w:val="0"/>
          <w:caps w:val="0"/>
          <w:color w:val="auto"/>
          <w:spacing w:val="0"/>
          <w:sz w:val="30"/>
          <w:szCs w:val="30"/>
          <w:shd w:val="clear" w:fill="FFFFFF"/>
        </w:rPr>
        <w:t>下降</w:t>
      </w:r>
      <w:r>
        <w:rPr>
          <w:rFonts w:hint="eastAsia" w:ascii="仿宋_GB2312" w:hAnsi="仿宋_GB2312" w:eastAsia="仿宋_GB2312" w:cs="仿宋_GB2312"/>
          <w:b w:val="0"/>
          <w:i w:val="0"/>
          <w:caps w:val="0"/>
          <w:color w:val="auto"/>
          <w:spacing w:val="0"/>
          <w:sz w:val="30"/>
          <w:szCs w:val="30"/>
          <w:shd w:val="clear" w:fill="FFFFFF"/>
          <w:lang w:eastAsia="zh-CN"/>
        </w:rPr>
        <w:t>）</w:t>
      </w:r>
      <w:r>
        <w:rPr>
          <w:rFonts w:hint="eastAsia" w:ascii="仿宋_GB2312" w:hAnsi="仿宋_GB2312" w:eastAsia="仿宋_GB2312" w:cs="仿宋_GB2312"/>
          <w:b w:val="0"/>
          <w:i w:val="0"/>
          <w:caps w:val="0"/>
          <w:color w:val="auto"/>
          <w:spacing w:val="0"/>
          <w:sz w:val="30"/>
          <w:szCs w:val="30"/>
          <w:shd w:val="clear" w:fill="FFFFFF"/>
          <w:lang w:val="en-US" w:eastAsia="zh-CN"/>
        </w:rPr>
        <w:t>0</w:t>
      </w:r>
      <w:r>
        <w:rPr>
          <w:rFonts w:hint="eastAsia" w:ascii="仿宋_GB2312" w:hAnsi="仿宋_GB2312" w:eastAsia="仿宋_GB2312" w:cs="仿宋_GB2312"/>
          <w:b w:val="0"/>
          <w:i w:val="0"/>
          <w:caps w:val="0"/>
          <w:color w:val="auto"/>
          <w:spacing w:val="0"/>
          <w:sz w:val="30"/>
          <w:szCs w:val="30"/>
          <w:shd w:val="clear" w:fill="FFFFFF"/>
        </w:rPr>
        <w:t>%；我单位三公经费变动主要</w:t>
      </w:r>
      <w:r>
        <w:rPr>
          <w:rFonts w:hint="eastAsia" w:ascii="仿宋_GB2312" w:hAnsi="仿宋_GB2312" w:eastAsia="仿宋_GB2312" w:cs="仿宋_GB2312"/>
          <w:b/>
          <w:bCs/>
          <w:i w:val="0"/>
          <w:caps w:val="0"/>
          <w:color w:val="auto"/>
          <w:spacing w:val="0"/>
          <w:sz w:val="30"/>
          <w:szCs w:val="30"/>
          <w:shd w:val="clear" w:fill="FFFFFF"/>
        </w:rPr>
        <w:t>原因是：</w:t>
      </w:r>
      <w:r>
        <w:rPr>
          <w:rFonts w:hint="eastAsia" w:ascii="仿宋_GB2312" w:hAnsi="仿宋_GB2312" w:eastAsia="仿宋_GB2312" w:cs="仿宋_GB2312"/>
          <w:b/>
          <w:bCs/>
          <w:i w:val="0"/>
          <w:caps w:val="0"/>
          <w:color w:val="auto"/>
          <w:spacing w:val="0"/>
          <w:sz w:val="30"/>
          <w:szCs w:val="30"/>
          <w:shd w:val="clear" w:fill="FFFFFF"/>
          <w:lang w:eastAsia="zh-CN"/>
        </w:rPr>
        <w:t>财政拨的日常公用经费全部用于办公经费。</w:t>
      </w:r>
    </w:p>
    <w:p>
      <w:pPr>
        <w:numPr>
          <w:ilvl w:val="0"/>
          <w:numId w:val="0"/>
        </w:numPr>
        <w:rPr>
          <w:rFonts w:hint="eastAsia" w:ascii="仿宋_GB2312" w:hAnsi="仿宋_GB2312" w:eastAsia="仿宋_GB2312" w:cs="仿宋_GB2312"/>
          <w:b w:val="0"/>
          <w:i w:val="0"/>
          <w:caps w:val="0"/>
          <w:color w:val="auto"/>
          <w:spacing w:val="0"/>
          <w:sz w:val="30"/>
          <w:szCs w:val="30"/>
          <w:shd w:val="clear" w:fill="FFFFFF"/>
        </w:rPr>
      </w:pPr>
    </w:p>
    <w:p>
      <w:pPr>
        <w:numPr>
          <w:ilvl w:val="0"/>
          <w:numId w:val="0"/>
        </w:numPr>
        <w:rPr>
          <w:rFonts w:hint="eastAsia" w:ascii="仿宋_GB2312" w:hAnsi="仿宋_GB2312" w:eastAsia="仿宋_GB2312" w:cs="仿宋_GB2312"/>
          <w:b/>
          <w:bCs/>
          <w:i w:val="0"/>
          <w:caps w:val="0"/>
          <w:color w:val="auto"/>
          <w:spacing w:val="0"/>
          <w:sz w:val="30"/>
          <w:szCs w:val="30"/>
          <w:shd w:val="clear" w:fill="FFFFFF"/>
          <w:lang w:val="en-US"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十一、资产负债情况说明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仿宋_GB2312" w:eastAsia="仿宋_GB2312" w:cs="仿宋_GB2312"/>
          <w:b w:val="0"/>
          <w:i w:val="0"/>
          <w:caps w:val="0"/>
          <w:color w:val="2B2B2B"/>
          <w:spacing w:val="0"/>
          <w:sz w:val="30"/>
          <w:szCs w:val="30"/>
        </w:rPr>
      </w:pPr>
      <w:r>
        <w:rPr>
          <w:rFonts w:hint="eastAsia" w:ascii="仿宋_GB2312" w:hAnsi="仿宋_GB2312" w:eastAsia="仿宋_GB2312" w:cs="仿宋_GB2312"/>
          <w:b w:val="0"/>
          <w:i w:val="0"/>
          <w:caps w:val="0"/>
          <w:color w:val="2B2B2B"/>
          <w:spacing w:val="0"/>
          <w:sz w:val="30"/>
          <w:szCs w:val="30"/>
          <w:shd w:val="clear" w:fill="FFFFFF"/>
        </w:rPr>
        <w:t>我单位资产合计</w:t>
      </w:r>
      <w:r>
        <w:rPr>
          <w:rFonts w:hint="eastAsia" w:ascii="仿宋_GB2312" w:hAnsi="仿宋_GB2312" w:eastAsia="仿宋_GB2312" w:cs="仿宋_GB2312"/>
          <w:b w:val="0"/>
          <w:i w:val="0"/>
          <w:caps w:val="0"/>
          <w:color w:val="2B2B2B"/>
          <w:spacing w:val="0"/>
          <w:sz w:val="30"/>
          <w:szCs w:val="30"/>
          <w:shd w:val="clear" w:fill="FFFFFF"/>
          <w:lang w:val="en-US" w:eastAsia="zh-CN"/>
        </w:rPr>
        <w:t>0.1</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，其中银行存款</w:t>
      </w:r>
      <w:r>
        <w:rPr>
          <w:rFonts w:hint="eastAsia" w:ascii="仿宋_GB2312" w:hAnsi="仿宋_GB2312" w:eastAsia="仿宋_GB2312" w:cs="仿宋_GB2312"/>
          <w:b w:val="0"/>
          <w:i w:val="0"/>
          <w:caps w:val="0"/>
          <w:color w:val="2B2B2B"/>
          <w:spacing w:val="0"/>
          <w:sz w:val="30"/>
          <w:szCs w:val="30"/>
          <w:shd w:val="clear" w:fill="FFFFFF"/>
          <w:lang w:val="en-US" w:eastAsia="zh-CN"/>
        </w:rPr>
        <w:t>0</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，固定资产</w:t>
      </w:r>
      <w:r>
        <w:rPr>
          <w:rFonts w:hint="eastAsia" w:ascii="仿宋_GB2312" w:hAnsi="仿宋_GB2312" w:eastAsia="仿宋_GB2312" w:cs="仿宋_GB2312"/>
          <w:b w:val="0"/>
          <w:i w:val="0"/>
          <w:caps w:val="0"/>
          <w:color w:val="2B2B2B"/>
          <w:spacing w:val="0"/>
          <w:sz w:val="30"/>
          <w:szCs w:val="30"/>
          <w:shd w:val="clear" w:fill="FFFFFF"/>
          <w:lang w:val="en-US" w:eastAsia="zh-CN"/>
        </w:rPr>
        <w:t>0.1</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。负债合计</w:t>
      </w:r>
      <w:r>
        <w:rPr>
          <w:rFonts w:hint="eastAsia" w:ascii="仿宋_GB2312" w:hAnsi="仿宋_GB2312" w:eastAsia="仿宋_GB2312" w:cs="仿宋_GB2312"/>
          <w:b w:val="0"/>
          <w:i w:val="0"/>
          <w:caps w:val="0"/>
          <w:color w:val="2B2B2B"/>
          <w:spacing w:val="0"/>
          <w:sz w:val="30"/>
          <w:szCs w:val="30"/>
          <w:shd w:val="clear" w:fill="FFFFFF"/>
          <w:lang w:val="en-US" w:eastAsia="zh-CN"/>
        </w:rPr>
        <w:t>0</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，其中其他应付款为</w:t>
      </w:r>
      <w:r>
        <w:rPr>
          <w:rFonts w:hint="eastAsia" w:ascii="仿宋_GB2312" w:hAnsi="仿宋_GB2312" w:eastAsia="仿宋_GB2312" w:cs="仿宋_GB2312"/>
          <w:b w:val="0"/>
          <w:i w:val="0"/>
          <w:caps w:val="0"/>
          <w:color w:val="2B2B2B"/>
          <w:spacing w:val="0"/>
          <w:sz w:val="30"/>
          <w:szCs w:val="30"/>
          <w:shd w:val="clear" w:fill="FFFFFF"/>
          <w:lang w:val="en-US" w:eastAsia="zh-CN"/>
        </w:rPr>
        <w:t>0</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；净资产为</w:t>
      </w:r>
      <w:r>
        <w:rPr>
          <w:rFonts w:hint="eastAsia" w:ascii="仿宋_GB2312" w:hAnsi="仿宋_GB2312" w:eastAsia="仿宋_GB2312" w:cs="仿宋_GB2312"/>
          <w:b w:val="0"/>
          <w:i w:val="0"/>
          <w:caps w:val="0"/>
          <w:color w:val="2B2B2B"/>
          <w:spacing w:val="0"/>
          <w:sz w:val="30"/>
          <w:szCs w:val="30"/>
          <w:shd w:val="clear" w:fill="FFFFFF"/>
          <w:lang w:val="en-US" w:eastAsia="zh-CN"/>
        </w:rPr>
        <w:t>0.1</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仿宋_GB2312" w:hAnsi="仿宋_GB2312" w:eastAsia="仿宋_GB2312" w:cs="仿宋_GB2312"/>
          <w:b w:val="0"/>
          <w:i w:val="0"/>
          <w:caps w:val="0"/>
          <w:color w:val="2B2B2B"/>
          <w:spacing w:val="0"/>
          <w:sz w:val="30"/>
          <w:szCs w:val="30"/>
        </w:rPr>
      </w:pPr>
      <w:r>
        <w:rPr>
          <w:rFonts w:hint="eastAsia" w:ascii="仿宋_GB2312" w:hAnsi="仿宋_GB2312" w:eastAsia="仿宋_GB2312" w:cs="仿宋_GB2312"/>
          <w:b w:val="0"/>
          <w:i w:val="0"/>
          <w:caps w:val="0"/>
          <w:color w:val="2B2B2B"/>
          <w:spacing w:val="0"/>
          <w:sz w:val="30"/>
          <w:szCs w:val="30"/>
          <w:shd w:val="clear" w:fill="FFFFFF"/>
        </w:rPr>
        <w:t>和201</w:t>
      </w:r>
      <w:r>
        <w:rPr>
          <w:rFonts w:hint="eastAsia" w:ascii="仿宋_GB2312" w:hAnsi="仿宋_GB2312" w:eastAsia="仿宋_GB2312" w:cs="仿宋_GB2312"/>
          <w:b w:val="0"/>
          <w:i w:val="0"/>
          <w:caps w:val="0"/>
          <w:color w:val="2B2B2B"/>
          <w:spacing w:val="0"/>
          <w:sz w:val="30"/>
          <w:szCs w:val="30"/>
          <w:shd w:val="clear" w:fill="FFFFFF"/>
          <w:lang w:val="en-US" w:eastAsia="zh-CN"/>
        </w:rPr>
        <w:t>6</w:t>
      </w:r>
      <w:r>
        <w:rPr>
          <w:rFonts w:hint="eastAsia" w:ascii="仿宋_GB2312" w:hAnsi="仿宋_GB2312" w:eastAsia="仿宋_GB2312" w:cs="仿宋_GB2312"/>
          <w:b w:val="0"/>
          <w:i w:val="0"/>
          <w:caps w:val="0"/>
          <w:color w:val="2B2B2B"/>
          <w:spacing w:val="0"/>
          <w:sz w:val="30"/>
          <w:szCs w:val="30"/>
          <w:shd w:val="clear" w:fill="FFFFFF"/>
        </w:rPr>
        <w:t>年相比,201</w:t>
      </w:r>
      <w:r>
        <w:rPr>
          <w:rFonts w:hint="eastAsia" w:ascii="仿宋_GB2312" w:hAnsi="仿宋_GB2312" w:eastAsia="仿宋_GB2312" w:cs="仿宋_GB2312"/>
          <w:b w:val="0"/>
          <w:i w:val="0"/>
          <w:caps w:val="0"/>
          <w:color w:val="2B2B2B"/>
          <w:spacing w:val="0"/>
          <w:sz w:val="30"/>
          <w:szCs w:val="30"/>
          <w:shd w:val="clear" w:fill="FFFFFF"/>
          <w:lang w:val="en-US" w:eastAsia="zh-CN"/>
        </w:rPr>
        <w:t>7</w:t>
      </w:r>
      <w:r>
        <w:rPr>
          <w:rFonts w:hint="eastAsia" w:ascii="仿宋_GB2312" w:hAnsi="仿宋_GB2312" w:eastAsia="仿宋_GB2312" w:cs="仿宋_GB2312"/>
          <w:b w:val="0"/>
          <w:i w:val="0"/>
          <w:caps w:val="0"/>
          <w:color w:val="2B2B2B"/>
          <w:spacing w:val="0"/>
          <w:sz w:val="30"/>
          <w:szCs w:val="30"/>
          <w:shd w:val="clear" w:fill="FFFFFF"/>
        </w:rPr>
        <w:t>年资产增加</w:t>
      </w:r>
      <w:r>
        <w:rPr>
          <w:rFonts w:hint="eastAsia" w:ascii="仿宋_GB2312" w:hAnsi="仿宋_GB2312" w:eastAsia="仿宋_GB2312" w:cs="仿宋_GB2312"/>
          <w:b w:val="0"/>
          <w:i w:val="0"/>
          <w:caps w:val="0"/>
          <w:color w:val="2B2B2B"/>
          <w:spacing w:val="0"/>
          <w:sz w:val="30"/>
          <w:szCs w:val="30"/>
          <w:shd w:val="clear" w:fill="FFFFFF"/>
          <w:lang w:val="en-US" w:eastAsia="zh-CN"/>
        </w:rPr>
        <w:t>(减少)0</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，其中，银行存款增加</w:t>
      </w:r>
      <w:r>
        <w:rPr>
          <w:rFonts w:hint="eastAsia" w:ascii="仿宋_GB2312" w:hAnsi="仿宋_GB2312" w:eastAsia="仿宋_GB2312" w:cs="仿宋_GB2312"/>
          <w:b w:val="0"/>
          <w:i w:val="0"/>
          <w:caps w:val="0"/>
          <w:color w:val="2B2B2B"/>
          <w:spacing w:val="0"/>
          <w:sz w:val="30"/>
          <w:szCs w:val="30"/>
          <w:shd w:val="clear" w:fill="FFFFFF"/>
          <w:lang w:val="en-US" w:eastAsia="zh-CN"/>
        </w:rPr>
        <w:t>(减少)0</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，固定资产增加</w:t>
      </w:r>
      <w:r>
        <w:rPr>
          <w:rFonts w:hint="eastAsia" w:ascii="仿宋_GB2312" w:hAnsi="仿宋_GB2312" w:eastAsia="仿宋_GB2312" w:cs="仿宋_GB2312"/>
          <w:b w:val="0"/>
          <w:i w:val="0"/>
          <w:caps w:val="0"/>
          <w:color w:val="2B2B2B"/>
          <w:spacing w:val="0"/>
          <w:sz w:val="30"/>
          <w:szCs w:val="30"/>
          <w:shd w:val="clear" w:fill="FFFFFF"/>
          <w:lang w:val="en-US" w:eastAsia="zh-CN"/>
        </w:rPr>
        <w:t>(减少)0</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；负债增加</w:t>
      </w:r>
      <w:r>
        <w:rPr>
          <w:rFonts w:hint="eastAsia" w:ascii="仿宋_GB2312" w:hAnsi="仿宋_GB2312" w:eastAsia="仿宋_GB2312" w:cs="仿宋_GB2312"/>
          <w:b w:val="0"/>
          <w:i w:val="0"/>
          <w:caps w:val="0"/>
          <w:color w:val="2B2B2B"/>
          <w:spacing w:val="0"/>
          <w:sz w:val="30"/>
          <w:szCs w:val="30"/>
          <w:shd w:val="clear" w:fill="FFFFFF"/>
          <w:lang w:val="en-US" w:eastAsia="zh-CN"/>
        </w:rPr>
        <w:t>0</w:t>
      </w:r>
      <w:r>
        <w:rPr>
          <w:rFonts w:hint="eastAsia" w:ascii="仿宋_GB2312" w:hAnsi="仿宋_GB2312" w:eastAsia="仿宋_GB2312" w:cs="仿宋_GB2312"/>
          <w:b w:val="0"/>
          <w:i w:val="0"/>
          <w:caps w:val="0"/>
          <w:color w:val="auto"/>
          <w:spacing w:val="0"/>
          <w:sz w:val="30"/>
          <w:szCs w:val="30"/>
          <w:shd w:val="clear" w:fill="FFFFFF"/>
          <w:lang w:val="en-US" w:eastAsia="zh-CN"/>
        </w:rPr>
        <w:t>万</w:t>
      </w:r>
      <w:r>
        <w:rPr>
          <w:rFonts w:hint="eastAsia" w:ascii="仿宋_GB2312" w:hAnsi="仿宋_GB2312" w:eastAsia="仿宋_GB2312" w:cs="仿宋_GB2312"/>
          <w:b w:val="0"/>
          <w:i w:val="0"/>
          <w:caps w:val="0"/>
          <w:color w:val="auto"/>
          <w:spacing w:val="0"/>
          <w:sz w:val="30"/>
          <w:szCs w:val="30"/>
          <w:shd w:val="clear" w:fill="FFFFFF"/>
        </w:rPr>
        <w:t>元</w:t>
      </w:r>
      <w:r>
        <w:rPr>
          <w:rFonts w:hint="eastAsia" w:ascii="仿宋_GB2312" w:hAnsi="仿宋_GB2312" w:eastAsia="仿宋_GB2312" w:cs="仿宋_GB2312"/>
          <w:b w:val="0"/>
          <w:i w:val="0"/>
          <w:caps w:val="0"/>
          <w:color w:val="2B2B2B"/>
          <w:spacing w:val="0"/>
          <w:sz w:val="30"/>
          <w:szCs w:val="3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仿宋_GB2312" w:eastAsia="仿宋_GB2312" w:cs="仿宋_GB2312"/>
          <w:b/>
          <w:bCs/>
          <w:i w:val="0"/>
          <w:caps w:val="0"/>
          <w:color w:val="2B2B2B"/>
          <w:spacing w:val="0"/>
          <w:sz w:val="30"/>
          <w:szCs w:val="30"/>
          <w:shd w:val="clear" w:fill="FFFFFF"/>
        </w:rPr>
      </w:pPr>
      <w:r>
        <w:rPr>
          <w:rFonts w:hint="eastAsia" w:ascii="仿宋_GB2312" w:hAnsi="仿宋_GB2312" w:eastAsia="仿宋_GB2312" w:cs="仿宋_GB2312"/>
          <w:b/>
          <w:bCs/>
          <w:i w:val="0"/>
          <w:caps w:val="0"/>
          <w:color w:val="2B2B2B"/>
          <w:spacing w:val="0"/>
          <w:sz w:val="30"/>
          <w:szCs w:val="30"/>
          <w:shd w:val="clear" w:fill="FFFFFF"/>
        </w:rPr>
        <w:t>差异原因分析：</w:t>
      </w:r>
      <w:r>
        <w:rPr>
          <w:rFonts w:hint="eastAsia" w:ascii="仿宋_GB2312" w:hAnsi="仿宋_GB2312" w:eastAsia="仿宋_GB2312" w:cs="仿宋_GB2312"/>
          <w:b/>
          <w:bCs/>
          <w:i w:val="0"/>
          <w:caps w:val="0"/>
          <w:color w:val="2B2B2B"/>
          <w:spacing w:val="0"/>
          <w:sz w:val="30"/>
          <w:szCs w:val="30"/>
          <w:shd w:val="clear" w:fill="FFFFFF"/>
          <w:lang w:eastAsia="zh-CN"/>
        </w:rPr>
        <w:t>本单位财政拨款只是</w:t>
      </w:r>
      <w:r>
        <w:rPr>
          <w:rFonts w:hint="eastAsia" w:ascii="仿宋_GB2312" w:hAnsi="仿宋_GB2312" w:eastAsia="仿宋_GB2312" w:cs="仿宋_GB2312"/>
          <w:b w:val="0"/>
          <w:bCs w:val="0"/>
          <w:sz w:val="30"/>
          <w:szCs w:val="30"/>
          <w:lang w:val="en-US" w:eastAsia="zh-CN"/>
        </w:rPr>
        <w:t>机关人员经费和日常公用经费拨款。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仿宋_GB2312" w:eastAsia="仿宋_GB2312" w:cs="仿宋_GB2312"/>
          <w:b/>
          <w:bCs/>
          <w:i w:val="0"/>
          <w:caps w:val="0"/>
          <w:color w:val="2B2B2B"/>
          <w:spacing w:val="0"/>
          <w:sz w:val="30"/>
          <w:szCs w:val="30"/>
          <w:shd w:val="clear" w:fill="FFFFFF"/>
        </w:rPr>
      </w:pPr>
    </w:p>
    <w:p>
      <w:pPr>
        <w:keepNext w:val="0"/>
        <w:keepLines w:val="0"/>
        <w:widowControl w:val="0"/>
        <w:numPr>
          <w:ilvl w:val="0"/>
          <w:numId w:val="0"/>
        </w:numPr>
        <w:suppressLineNumbers w:val="0"/>
        <w:snapToGrid w:val="0"/>
        <w:spacing w:before="0" w:beforeAutospacing="0" w:after="0" w:afterAutospacing="0"/>
        <w:ind w:right="0" w:rightChars="0"/>
        <w:jc w:val="both"/>
        <w:rPr>
          <w:rFonts w:hint="eastAsia" w:ascii="仿宋_GB2312" w:hAnsi="仿宋_GB2312" w:eastAsia="仿宋_GB2312" w:cs="仿宋_GB2312"/>
          <w:b/>
          <w:bCs/>
          <w:i w:val="0"/>
          <w:caps w:val="0"/>
          <w:color w:val="auto"/>
          <w:spacing w:val="0"/>
          <w:sz w:val="30"/>
          <w:szCs w:val="30"/>
          <w:shd w:val="clear" w:fill="FFFFFF"/>
          <w:lang w:val="en-US"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十二、本年度部门决算工作开展情况(如实写)</w:t>
      </w:r>
    </w:p>
    <w:p>
      <w:pPr>
        <w:keepNext w:val="0"/>
        <w:keepLines w:val="0"/>
        <w:widowControl w:val="0"/>
        <w:suppressLineNumbers w:val="0"/>
        <w:snapToGrid w:val="0"/>
        <w:spacing w:before="0" w:beforeAutospacing="0" w:after="0" w:afterAutospacing="0"/>
        <w:ind w:right="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（一）本部门（单位）财务管理、决算组织、编报、审核情况。</w:t>
      </w:r>
    </w:p>
    <w:p>
      <w:pPr>
        <w:keepNext w:val="0"/>
        <w:keepLines w:val="0"/>
        <w:widowControl w:val="0"/>
        <w:suppressLineNumbers w:val="0"/>
        <w:snapToGrid w:val="0"/>
        <w:spacing w:before="0" w:beforeAutospacing="0" w:after="0" w:afterAutospacing="0"/>
        <w:ind w:right="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（二）本部门（单位）决算公开工作、主管部门对所属单位按规定批复决算工作开展情况。</w:t>
      </w:r>
    </w:p>
    <w:p>
      <w:pPr>
        <w:keepNext w:val="0"/>
        <w:keepLines w:val="0"/>
        <w:widowControl w:val="0"/>
        <w:suppressLineNumbers w:val="0"/>
        <w:snapToGrid w:val="0"/>
        <w:spacing w:before="0" w:beforeAutospacing="0" w:after="0" w:afterAutospacing="0"/>
        <w:ind w:right="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（三）对部门（单位）决算管理及报表设计的意见建议。无</w:t>
      </w:r>
    </w:p>
    <w:p>
      <w:pPr>
        <w:keepNext w:val="0"/>
        <w:keepLines w:val="0"/>
        <w:widowControl w:val="0"/>
        <w:suppressLineNumbers w:val="0"/>
        <w:snapToGrid w:val="0"/>
        <w:spacing w:before="0" w:beforeAutospacing="0" w:after="0" w:afterAutospacing="0"/>
        <w:ind w:right="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（四）对加强部门决算数据分析利用工作的建议。无</w:t>
      </w: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注：收入支出预算执行情况分析可参考部门决算分析评价表（见软件查询模板）及行政事业单位财务分析指标（附后）。</w:t>
      </w: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sz w:val="30"/>
          <w:szCs w:val="30"/>
          <w:lang w:val="en-US"/>
        </w:rPr>
      </w:pPr>
      <w:bookmarkStart w:id="0" w:name="附：行政事业单位财务分析指标"/>
      <w:r>
        <w:rPr>
          <w:rFonts w:hint="eastAsia" w:ascii="仿宋_GB2312" w:hAnsi="仿宋_GB2312" w:eastAsia="仿宋_GB2312" w:cs="仿宋_GB2312"/>
          <w:kern w:val="2"/>
          <w:sz w:val="30"/>
          <w:szCs w:val="30"/>
          <w:lang w:val="en-US" w:eastAsia="zh-CN" w:bidi="ar"/>
        </w:rPr>
        <w:t>附：行政事业单位财务分析指标</w:t>
      </w:r>
    </w:p>
    <w:bookmarkEnd w:id="0"/>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kern w:val="2"/>
          <w:sz w:val="30"/>
          <w:szCs w:val="30"/>
          <w:lang w:val="en-US" w:eastAsia="zh-CN" w:bidi="ar"/>
        </w:rPr>
      </w:pP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一、事业单位财务分析指标</w:t>
      </w: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kern w:val="2"/>
          <w:sz w:val="30"/>
          <w:szCs w:val="30"/>
          <w:lang w:val="en-US" w:eastAsia="zh-CN" w:bidi="ar"/>
        </w:rPr>
      </w:pPr>
      <w:r>
        <w:rPr>
          <w:rFonts w:hint="eastAsia" w:ascii="仿宋_GB2312" w:hAnsi="仿宋_GB2312" w:eastAsia="仿宋_GB2312" w:cs="仿宋_GB2312"/>
          <w:kern w:val="2"/>
          <w:sz w:val="30"/>
          <w:szCs w:val="30"/>
          <w:lang w:val="en-US" w:eastAsia="zh-CN" w:bidi="ar"/>
        </w:rPr>
        <w:t>1.预算收入和支出完成率，衡量事业单位收入和支出总预算及分项预算完成的程度。计算公式为：</w:t>
      </w:r>
    </w:p>
    <w:p>
      <w:pPr>
        <w:keepNext w:val="0"/>
        <w:keepLines w:val="0"/>
        <w:widowControl w:val="0"/>
        <w:suppressLineNumbers w:val="0"/>
        <w:snapToGrid w:val="0"/>
        <w:spacing w:before="0" w:beforeAutospacing="0" w:after="0" w:afterAutospacing="0"/>
        <w:ind w:left="0" w:right="0" w:firstLine="600" w:firstLineChars="200"/>
        <w:jc w:val="both"/>
        <w:rPr>
          <w:rFonts w:hint="eastAsia" w:ascii="楷体_GB2312" w:hAnsi="楷体_GB2312" w:eastAsia="楷体_GB2312" w:cs="楷体_GB2312"/>
          <w:sz w:val="30"/>
          <w:szCs w:val="30"/>
          <w:lang w:val="en-US"/>
        </w:rPr>
      </w:pPr>
      <w:r>
        <w:rPr>
          <w:rFonts w:hint="eastAsia" w:ascii="楷体_GB2312" w:hAnsi="楷体_GB2312" w:eastAsia="楷体_GB2312" w:cs="楷体_GB2312"/>
          <w:kern w:val="2"/>
          <w:sz w:val="30"/>
          <w:szCs w:val="30"/>
          <w:lang w:val="en-US" w:eastAsia="zh-CN" w:bidi="ar"/>
        </w:rPr>
        <w:t>预算收入完成率＝年终执行数÷（年初预算数±年中预算调整数）×100%</w:t>
      </w:r>
    </w:p>
    <w:p>
      <w:pPr>
        <w:keepNext w:val="0"/>
        <w:keepLines w:val="0"/>
        <w:widowControl w:val="0"/>
        <w:suppressLineNumbers w:val="0"/>
        <w:snapToGrid w:val="0"/>
        <w:spacing w:before="0" w:beforeAutospacing="0" w:after="0" w:afterAutospacing="0"/>
        <w:ind w:right="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预算收入完成率＝1822246.52÷（2384895-562648.48）×100%=100%</w:t>
      </w: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kern w:val="2"/>
          <w:sz w:val="30"/>
          <w:szCs w:val="30"/>
          <w:lang w:val="en-US" w:eastAsia="zh-CN" w:bidi="ar"/>
        </w:rPr>
      </w:pPr>
      <w:r>
        <w:rPr>
          <w:rFonts w:hint="eastAsia" w:ascii="仿宋_GB2312" w:hAnsi="仿宋_GB2312" w:eastAsia="仿宋_GB2312" w:cs="仿宋_GB2312"/>
          <w:kern w:val="2"/>
          <w:sz w:val="30"/>
          <w:szCs w:val="30"/>
          <w:lang w:val="en-US" w:eastAsia="zh-CN" w:bidi="ar"/>
        </w:rPr>
        <w:t>年终执行数不含上年结转和结余收入数</w:t>
      </w:r>
    </w:p>
    <w:p>
      <w:pPr>
        <w:keepNext w:val="0"/>
        <w:keepLines w:val="0"/>
        <w:widowControl w:val="0"/>
        <w:suppressLineNumbers w:val="0"/>
        <w:snapToGrid w:val="0"/>
        <w:spacing w:before="0" w:beforeAutospacing="0" w:after="0" w:afterAutospacing="0"/>
        <w:ind w:left="0" w:right="0" w:firstLine="600" w:firstLineChars="200"/>
        <w:jc w:val="both"/>
        <w:rPr>
          <w:rFonts w:hint="eastAsia" w:ascii="楷体_GB2312" w:hAnsi="楷体_GB2312" w:eastAsia="楷体_GB2312" w:cs="楷体_GB2312"/>
          <w:sz w:val="30"/>
          <w:szCs w:val="30"/>
          <w:lang w:val="en-US"/>
        </w:rPr>
      </w:pPr>
      <w:r>
        <w:rPr>
          <w:rFonts w:hint="eastAsia" w:ascii="楷体_GB2312" w:hAnsi="楷体_GB2312" w:eastAsia="楷体_GB2312" w:cs="楷体_GB2312"/>
          <w:kern w:val="2"/>
          <w:sz w:val="30"/>
          <w:szCs w:val="30"/>
          <w:lang w:val="en-US" w:eastAsia="zh-CN" w:bidi="ar"/>
        </w:rPr>
        <w:t>预算支出完成率＝年终执行数÷（年初预算数±年中预算调整数）×100%</w:t>
      </w:r>
    </w:p>
    <w:p>
      <w:pPr>
        <w:keepNext w:val="0"/>
        <w:keepLines w:val="0"/>
        <w:widowControl w:val="0"/>
        <w:suppressLineNumbers w:val="0"/>
        <w:snapToGrid w:val="0"/>
        <w:spacing w:before="0" w:beforeAutospacing="0" w:after="0" w:afterAutospacing="0"/>
        <w:ind w:right="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预算支出完成率＝1822246.52÷（2384895-562648.48）×100=100%</w:t>
      </w:r>
    </w:p>
    <w:p>
      <w:pPr>
        <w:keepNext w:val="0"/>
        <w:keepLines w:val="0"/>
        <w:widowControl w:val="0"/>
        <w:suppressLineNumbers w:val="0"/>
        <w:snapToGrid w:val="0"/>
        <w:spacing w:before="0" w:beforeAutospacing="0" w:after="0" w:afterAutospacing="0"/>
        <w:ind w:right="0" w:firstLine="300" w:firstLineChars="1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年终执行数不含上年结转和结余支出数</w:t>
      </w:r>
    </w:p>
    <w:p>
      <w:pPr>
        <w:keepNext w:val="0"/>
        <w:keepLines w:val="0"/>
        <w:widowControl w:val="0"/>
        <w:numPr>
          <w:ilvl w:val="0"/>
          <w:numId w:val="7"/>
        </w:numPr>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kern w:val="2"/>
          <w:sz w:val="30"/>
          <w:szCs w:val="30"/>
          <w:lang w:val="en-US" w:eastAsia="zh-CN" w:bidi="ar"/>
        </w:rPr>
      </w:pPr>
      <w:r>
        <w:rPr>
          <w:rFonts w:hint="eastAsia" w:ascii="仿宋_GB2312" w:hAnsi="仿宋_GB2312" w:eastAsia="仿宋_GB2312" w:cs="仿宋_GB2312"/>
          <w:kern w:val="2"/>
          <w:sz w:val="30"/>
          <w:szCs w:val="30"/>
          <w:lang w:val="en-US" w:eastAsia="zh-CN" w:bidi="ar"/>
        </w:rPr>
        <w:t>人员支出、公用支出占事业支出的比率，衡量事业单位事业支出结构。计算公式为：</w:t>
      </w:r>
    </w:p>
    <w:p>
      <w:pPr>
        <w:keepNext w:val="0"/>
        <w:keepLines w:val="0"/>
        <w:widowControl w:val="0"/>
        <w:suppressLineNumbers w:val="0"/>
        <w:snapToGrid w:val="0"/>
        <w:spacing w:before="0" w:beforeAutospacing="0" w:after="0" w:afterAutospacing="0"/>
        <w:ind w:left="0" w:right="0" w:firstLine="600" w:firstLineChars="200"/>
        <w:jc w:val="both"/>
        <w:rPr>
          <w:rFonts w:hint="eastAsia" w:ascii="楷体_GB2312" w:hAnsi="楷体_GB2312" w:eastAsia="楷体_GB2312" w:cs="楷体_GB2312"/>
          <w:sz w:val="30"/>
          <w:szCs w:val="30"/>
          <w:lang w:val="en-US"/>
        </w:rPr>
      </w:pPr>
      <w:r>
        <w:rPr>
          <w:rFonts w:hint="eastAsia" w:ascii="楷体_GB2312" w:hAnsi="楷体_GB2312" w:eastAsia="楷体_GB2312" w:cs="楷体_GB2312"/>
          <w:kern w:val="2"/>
          <w:sz w:val="30"/>
          <w:szCs w:val="30"/>
          <w:lang w:val="en-US" w:eastAsia="zh-CN" w:bidi="ar"/>
        </w:rPr>
        <w:t>人员支出比率＝人员支出÷事业支出×100%</w:t>
      </w:r>
    </w:p>
    <w:p>
      <w:pPr>
        <w:keepNext w:val="0"/>
        <w:keepLines w:val="0"/>
        <w:widowControl w:val="0"/>
        <w:suppressLineNumbers w:val="0"/>
        <w:snapToGrid w:val="0"/>
        <w:spacing w:before="0" w:beforeAutospacing="0" w:after="0" w:afterAutospacing="0"/>
        <w:ind w:left="0" w:right="0" w:firstLine="600" w:firstLineChars="200"/>
        <w:jc w:val="both"/>
        <w:rPr>
          <w:rFonts w:hint="eastAsia" w:ascii="楷体_GB2312" w:hAnsi="楷体_GB2312" w:eastAsia="楷体_GB2312" w:cs="楷体_GB2312"/>
          <w:sz w:val="30"/>
          <w:szCs w:val="30"/>
          <w:lang w:val="en-US"/>
        </w:rPr>
      </w:pPr>
      <w:r>
        <w:rPr>
          <w:rFonts w:hint="eastAsia" w:ascii="楷体_GB2312" w:hAnsi="楷体_GB2312" w:eastAsia="楷体_GB2312" w:cs="楷体_GB2312"/>
          <w:kern w:val="2"/>
          <w:sz w:val="30"/>
          <w:szCs w:val="30"/>
          <w:lang w:val="en-US" w:eastAsia="zh-CN" w:bidi="ar"/>
        </w:rPr>
        <w:t>公用支出比率＝公用支出÷事业支出×100%</w:t>
      </w:r>
    </w:p>
    <w:p>
      <w:pPr>
        <w:keepNext w:val="0"/>
        <w:keepLines w:val="0"/>
        <w:widowControl w:val="0"/>
        <w:suppressLineNumbers w:val="0"/>
        <w:snapToGrid w:val="0"/>
        <w:spacing w:before="0" w:beforeAutospacing="0" w:after="0" w:afterAutospacing="0"/>
        <w:ind w:right="0" w:firstLine="600" w:firstLineChars="2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人员支出比率＝1048594.52÷1822246.52×100%=57.5%</w:t>
      </w: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公用支出比率＝23652÷1822246.52×100%=1.3%</w:t>
      </w:r>
    </w:p>
    <w:p>
      <w:pPr>
        <w:keepNext w:val="0"/>
        <w:keepLines w:val="0"/>
        <w:widowControl w:val="0"/>
        <w:suppressLineNumbers w:val="0"/>
        <w:snapToGrid w:val="0"/>
        <w:spacing w:before="0" w:beforeAutospacing="0" w:after="0" w:afterAutospacing="0"/>
        <w:ind w:left="0" w:right="0" w:firstLine="600" w:firstLineChars="200"/>
        <w:jc w:val="both"/>
        <w:rPr>
          <w:rFonts w:hint="eastAsia" w:ascii="楷体_GB2312" w:hAnsi="楷体_GB2312" w:eastAsia="楷体_GB2312" w:cs="楷体_GB2312"/>
          <w:sz w:val="30"/>
          <w:szCs w:val="30"/>
          <w:lang w:val="en-US"/>
        </w:rPr>
      </w:pPr>
      <w:r>
        <w:rPr>
          <w:rFonts w:hint="eastAsia" w:ascii="仿宋_GB2312" w:hAnsi="仿宋_GB2312" w:eastAsia="仿宋_GB2312" w:cs="仿宋_GB2312"/>
          <w:kern w:val="2"/>
          <w:sz w:val="30"/>
          <w:szCs w:val="30"/>
          <w:lang w:val="en-US" w:eastAsia="zh-CN" w:bidi="ar"/>
        </w:rPr>
        <w:t>3.人均基本支出，衡量事业单位按照实际在编人数平均的基本支出水平。</w:t>
      </w:r>
      <w:r>
        <w:rPr>
          <w:rFonts w:hint="eastAsia" w:ascii="楷体_GB2312" w:hAnsi="楷体_GB2312" w:eastAsia="楷体_GB2312" w:cs="楷体_GB2312"/>
          <w:kern w:val="2"/>
          <w:sz w:val="30"/>
          <w:szCs w:val="30"/>
          <w:lang w:val="en-US" w:eastAsia="zh-CN" w:bidi="ar"/>
        </w:rPr>
        <w:t>计算公式为：人均基本支出＝（基本支出-离退休人员支出）÷实际在编人数</w:t>
      </w:r>
    </w:p>
    <w:p>
      <w:pPr>
        <w:keepNext w:val="0"/>
        <w:keepLines w:val="0"/>
        <w:widowControl w:val="0"/>
        <w:numPr>
          <w:ilvl w:val="0"/>
          <w:numId w:val="0"/>
        </w:numPr>
        <w:suppressLineNumbers w:val="0"/>
        <w:snapToGrid w:val="0"/>
        <w:spacing w:before="0" w:beforeAutospacing="0" w:after="0" w:afterAutospacing="0"/>
        <w:ind w:right="0" w:rightChars="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计算公式为：人均基本支出＝1072246.52÷6=178708元</w:t>
      </w:r>
    </w:p>
    <w:p>
      <w:pPr>
        <w:keepNext w:val="0"/>
        <w:keepLines w:val="0"/>
        <w:widowControl w:val="0"/>
        <w:suppressLineNumbers w:val="0"/>
        <w:snapToGrid w:val="0"/>
        <w:spacing w:before="0" w:beforeAutospacing="0" w:after="0" w:afterAutospacing="0"/>
        <w:ind w:left="0" w:right="0" w:firstLine="600" w:firstLineChars="200"/>
        <w:jc w:val="both"/>
        <w:rPr>
          <w:rFonts w:hint="eastAsia" w:ascii="楷体_GB2312" w:hAnsi="楷体_GB2312" w:eastAsia="楷体_GB2312" w:cs="楷体_GB2312"/>
          <w:sz w:val="30"/>
          <w:szCs w:val="30"/>
          <w:lang w:val="en-US"/>
        </w:rPr>
      </w:pPr>
      <w:r>
        <w:rPr>
          <w:rFonts w:hint="eastAsia" w:ascii="仿宋_GB2312" w:hAnsi="仿宋_GB2312" w:eastAsia="仿宋_GB2312" w:cs="仿宋_GB2312"/>
          <w:kern w:val="2"/>
          <w:sz w:val="30"/>
          <w:szCs w:val="30"/>
          <w:lang w:val="en-US" w:eastAsia="zh-CN" w:bidi="ar"/>
        </w:rPr>
        <w:t>4.资产负债率，衡量事业单位利用债权人提供资金开展业务活动的能力，以及反映债权人提供资金的安全保障程度。计算公式为</w:t>
      </w:r>
      <w:r>
        <w:rPr>
          <w:rFonts w:hint="eastAsia" w:ascii="楷体_GB2312" w:hAnsi="楷体_GB2312" w:eastAsia="楷体_GB2312" w:cs="楷体_GB2312"/>
          <w:kern w:val="2"/>
          <w:sz w:val="30"/>
          <w:szCs w:val="30"/>
          <w:lang w:val="en-US" w:eastAsia="zh-CN" w:bidi="ar"/>
        </w:rPr>
        <w:t>：</w:t>
      </w:r>
    </w:p>
    <w:p>
      <w:pPr>
        <w:keepNext w:val="0"/>
        <w:keepLines w:val="0"/>
        <w:widowControl w:val="0"/>
        <w:suppressLineNumbers w:val="0"/>
        <w:snapToGrid w:val="0"/>
        <w:spacing w:before="0" w:beforeAutospacing="0" w:after="0" w:afterAutospacing="0"/>
        <w:ind w:left="0" w:right="0" w:firstLine="600" w:firstLineChars="200"/>
        <w:jc w:val="both"/>
        <w:rPr>
          <w:rFonts w:hint="eastAsia" w:ascii="楷体_GB2312" w:hAnsi="楷体_GB2312" w:eastAsia="楷体_GB2312" w:cs="楷体_GB2312"/>
          <w:sz w:val="30"/>
          <w:szCs w:val="30"/>
          <w:lang w:val="en-US"/>
        </w:rPr>
      </w:pPr>
      <w:r>
        <w:rPr>
          <w:rFonts w:hint="eastAsia" w:ascii="楷体_GB2312" w:hAnsi="楷体_GB2312" w:eastAsia="楷体_GB2312" w:cs="楷体_GB2312"/>
          <w:kern w:val="2"/>
          <w:sz w:val="30"/>
          <w:szCs w:val="30"/>
          <w:lang w:val="en-US" w:eastAsia="zh-CN" w:bidi="ar"/>
        </w:rPr>
        <w:t>资产负债率＝负债总额÷资产总额×100%</w:t>
      </w:r>
    </w:p>
    <w:p>
      <w:pPr>
        <w:keepNext w:val="0"/>
        <w:keepLines w:val="0"/>
        <w:widowControl w:val="0"/>
        <w:suppressLineNumbers w:val="0"/>
        <w:snapToGrid w:val="0"/>
        <w:spacing w:before="0" w:beforeAutospacing="0" w:after="0" w:afterAutospacing="0"/>
        <w:ind w:right="0" w:firstLine="600" w:firstLineChars="2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资产负债率＝0</w:t>
      </w: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此外，行业事业单位还可根据相关财务制度规定和分析需要增加相关分析指标，如：</w:t>
      </w: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kern w:val="2"/>
          <w:sz w:val="30"/>
          <w:szCs w:val="30"/>
          <w:lang w:val="en-US" w:eastAsia="zh-CN" w:bidi="ar"/>
        </w:rPr>
      </w:pPr>
      <w:r>
        <w:rPr>
          <w:rFonts w:hint="eastAsia" w:ascii="仿宋_GB2312" w:hAnsi="仿宋_GB2312" w:eastAsia="仿宋_GB2312" w:cs="仿宋_GB2312"/>
          <w:kern w:val="2"/>
          <w:sz w:val="30"/>
          <w:szCs w:val="30"/>
          <w:lang w:val="en-US" w:eastAsia="zh-CN" w:bidi="ar"/>
        </w:rPr>
        <w:t>1.财政拨款依存度, 衡量部门（单位）对财政拨款的依赖程度</w:t>
      </w:r>
    </w:p>
    <w:p>
      <w:pPr>
        <w:keepNext w:val="0"/>
        <w:keepLines w:val="0"/>
        <w:widowControl w:val="0"/>
        <w:suppressLineNumbers w:val="0"/>
        <w:snapToGrid w:val="0"/>
        <w:spacing w:before="0" w:beforeAutospacing="0" w:after="0" w:afterAutospacing="0"/>
        <w:ind w:left="0" w:right="0" w:firstLine="600" w:firstLineChars="200"/>
        <w:jc w:val="both"/>
        <w:rPr>
          <w:rFonts w:hint="eastAsia" w:ascii="楷体_GB2312" w:hAnsi="楷体_GB2312" w:eastAsia="楷体_GB2312" w:cs="楷体_GB2312"/>
          <w:sz w:val="30"/>
          <w:szCs w:val="30"/>
          <w:lang w:val="en-US"/>
        </w:rPr>
      </w:pPr>
      <w:r>
        <w:rPr>
          <w:rFonts w:hint="eastAsia" w:ascii="楷体_GB2312" w:hAnsi="楷体_GB2312" w:eastAsia="楷体_GB2312" w:cs="楷体_GB2312"/>
          <w:kern w:val="2"/>
          <w:sz w:val="30"/>
          <w:szCs w:val="30"/>
          <w:lang w:val="en-US" w:eastAsia="zh-CN" w:bidi="ar"/>
        </w:rPr>
        <w:t>财政拨款依存度＝财政拨款收入÷收入总额×100%</w:t>
      </w:r>
    </w:p>
    <w:p>
      <w:pPr>
        <w:keepNext w:val="0"/>
        <w:keepLines w:val="0"/>
        <w:widowControl w:val="0"/>
        <w:numPr>
          <w:ilvl w:val="0"/>
          <w:numId w:val="0"/>
        </w:numPr>
        <w:suppressLineNumbers w:val="0"/>
        <w:snapToGrid w:val="0"/>
        <w:spacing w:before="0" w:beforeAutospacing="0" w:after="0" w:afterAutospacing="0"/>
        <w:ind w:right="0" w:rightChars="0" w:firstLine="600" w:firstLineChars="2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财政拨款依存度＝1822246.52÷1822246.52×100%=100%</w:t>
      </w:r>
    </w:p>
    <w:p>
      <w:pPr>
        <w:keepNext w:val="0"/>
        <w:keepLines w:val="0"/>
        <w:widowControl w:val="0"/>
        <w:numPr>
          <w:ilvl w:val="0"/>
          <w:numId w:val="8"/>
        </w:numPr>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kern w:val="2"/>
          <w:sz w:val="30"/>
          <w:szCs w:val="30"/>
          <w:lang w:val="en-US" w:eastAsia="zh-CN" w:bidi="ar"/>
        </w:rPr>
      </w:pPr>
      <w:r>
        <w:rPr>
          <w:rFonts w:hint="eastAsia" w:ascii="仿宋_GB2312" w:hAnsi="仿宋_GB2312" w:eastAsia="仿宋_GB2312" w:cs="仿宋_GB2312"/>
          <w:kern w:val="2"/>
          <w:sz w:val="30"/>
          <w:szCs w:val="30"/>
          <w:lang w:val="en-US" w:eastAsia="zh-CN" w:bidi="ar"/>
        </w:rPr>
        <w:t>固定资产成新率，反映部门（单位）固定资产的新旧程度。</w:t>
      </w:r>
    </w:p>
    <w:p>
      <w:pPr>
        <w:keepNext w:val="0"/>
        <w:keepLines w:val="0"/>
        <w:widowControl w:val="0"/>
        <w:numPr>
          <w:ilvl w:val="0"/>
          <w:numId w:val="0"/>
        </w:numPr>
        <w:suppressLineNumbers w:val="0"/>
        <w:snapToGrid w:val="0"/>
        <w:spacing w:before="0" w:beforeAutospacing="0" w:after="0" w:afterAutospacing="0"/>
        <w:ind w:leftChars="200" w:right="0" w:rightChars="0"/>
        <w:jc w:val="both"/>
        <w:rPr>
          <w:rFonts w:hint="eastAsia" w:ascii="仿宋_GB2312" w:eastAsia="仿宋_GB2312" w:cs="仿宋_GB2312"/>
          <w:sz w:val="30"/>
          <w:szCs w:val="30"/>
          <w:lang w:val="en-US"/>
        </w:rPr>
      </w:pPr>
      <w:r>
        <w:rPr>
          <w:rFonts w:hint="eastAsia" w:ascii="楷体_GB2312" w:hAnsi="楷体_GB2312" w:eastAsia="楷体_GB2312" w:cs="楷体_GB2312"/>
          <w:kern w:val="2"/>
          <w:sz w:val="30"/>
          <w:szCs w:val="30"/>
          <w:lang w:val="en-US" w:eastAsia="zh-CN" w:bidi="ar"/>
        </w:rPr>
        <w:t>固定资产成新率=固定资产净值÷固定资产原值×10</w:t>
      </w:r>
      <w:r>
        <w:rPr>
          <w:rFonts w:hint="eastAsia" w:ascii="仿宋_GB2312" w:hAnsi="Calibri" w:eastAsia="仿宋_GB2312" w:cs="仿宋_GB2312"/>
          <w:kern w:val="2"/>
          <w:sz w:val="30"/>
          <w:szCs w:val="30"/>
          <w:lang w:val="en-US" w:eastAsia="zh-CN" w:bidi="ar"/>
        </w:rPr>
        <w:t>0%</w:t>
      </w:r>
    </w:p>
    <w:p>
      <w:pPr>
        <w:keepNext w:val="0"/>
        <w:keepLines w:val="0"/>
        <w:widowControl w:val="0"/>
        <w:suppressLineNumbers w:val="0"/>
        <w:snapToGrid w:val="0"/>
        <w:spacing w:before="0" w:beforeAutospacing="0" w:after="0" w:afterAutospacing="0"/>
        <w:ind w:right="0" w:firstLine="300" w:firstLineChars="10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30"/>
          <w:szCs w:val="30"/>
          <w:lang w:val="en-US" w:eastAsia="zh-CN" w:bidi="ar"/>
        </w:rPr>
        <w:t>固定资产成新率=1000÷1000×100%=100%</w:t>
      </w:r>
    </w:p>
    <w:p>
      <w:pPr>
        <w:keepNext w:val="0"/>
        <w:keepLines w:val="0"/>
        <w:widowControl w:val="0"/>
        <w:suppressLineNumbers w:val="0"/>
        <w:snapToGrid w:val="0"/>
        <w:spacing w:before="0" w:beforeAutospacing="0" w:after="0" w:afterAutospacing="0"/>
        <w:ind w:left="0" w:right="0" w:firstLine="600" w:firstLineChars="200"/>
        <w:jc w:val="both"/>
        <w:rPr>
          <w:rFonts w:hint="eastAsia" w:ascii="仿宋_GB2312" w:hAnsi="仿宋_GB2312" w:eastAsia="仿宋_GB2312" w:cs="仿宋_GB2312"/>
          <w:sz w:val="30"/>
          <w:szCs w:val="30"/>
          <w:lang w:val="en-US"/>
        </w:rPr>
      </w:pPr>
    </w:p>
    <w:p>
      <w:pPr>
        <w:numPr>
          <w:ilvl w:val="0"/>
          <w:numId w:val="0"/>
        </w:numPr>
        <w:rPr>
          <w:rFonts w:hint="eastAsia" w:ascii="仿宋_GB2312" w:hAnsi="仿宋_GB2312" w:eastAsia="仿宋_GB2312" w:cs="仿宋_GB2312"/>
          <w:b/>
          <w:bCs/>
          <w:i w:val="0"/>
          <w:caps w:val="0"/>
          <w:color w:val="auto"/>
          <w:spacing w:val="0"/>
          <w:sz w:val="30"/>
          <w:szCs w:val="30"/>
          <w:shd w:val="clear" w:fill="FFFFFF"/>
          <w:lang w:val="en-US" w:eastAsia="zh-CN"/>
        </w:rPr>
      </w:pPr>
      <w:r>
        <w:rPr>
          <w:rFonts w:hint="eastAsia" w:ascii="仿宋_GB2312" w:hAnsi="仿宋_GB2312" w:eastAsia="仿宋_GB2312" w:cs="仿宋_GB2312"/>
          <w:b/>
          <w:bCs/>
          <w:i w:val="0"/>
          <w:caps w:val="0"/>
          <w:color w:val="auto"/>
          <w:spacing w:val="0"/>
          <w:sz w:val="30"/>
          <w:szCs w:val="30"/>
          <w:shd w:val="clear" w:fill="FFFFFF"/>
          <w:lang w:val="en-US" w:eastAsia="zh-CN"/>
        </w:rPr>
        <w:t>十三、公开表样</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（一）收入支出决算总表                     财决01表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（二）财政拨款收入支出决算总表           财决01-1表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（三）收入支出决算表                       财决02表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（四）收入决算表                           财决03表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（五）支出决算表                           财决04表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（六）一般公共预算财政拨款支出决算明细表   财决08表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（七）一般公共预算财政拨款基本支出决算明细表 财决08-1表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（八）政府性基金预算财政拨款收入支出决算表  财决09表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（九）政府性基金预算财政拨款支出决算明细表  财决10表</w:t>
      </w:r>
    </w:p>
    <w:p>
      <w:pPr>
        <w:numPr>
          <w:ilvl w:val="0"/>
          <w:numId w:val="0"/>
        </w:numPr>
        <w:rPr>
          <w:rFonts w:hint="eastAsia" w:ascii="仿宋_GB2312" w:hAnsi="仿宋_GB2312" w:eastAsia="仿宋_GB2312" w:cs="仿宋_GB2312"/>
          <w:b w:val="0"/>
          <w:bCs w:val="0"/>
          <w:i w:val="0"/>
          <w:caps w:val="0"/>
          <w:color w:val="auto"/>
          <w:spacing w:val="0"/>
          <w:sz w:val="30"/>
          <w:szCs w:val="30"/>
          <w:shd w:val="clear" w:fill="FFFFFF"/>
          <w:lang w:val="en-US" w:eastAsia="zh-CN"/>
        </w:rPr>
      </w:pPr>
      <w:r>
        <w:rPr>
          <w:rFonts w:hint="eastAsia" w:ascii="仿宋_GB2312" w:hAnsi="仿宋_GB2312" w:eastAsia="仿宋_GB2312" w:cs="仿宋_GB2312"/>
          <w:b w:val="0"/>
          <w:bCs w:val="0"/>
          <w:i w:val="0"/>
          <w:caps w:val="0"/>
          <w:color w:val="auto"/>
          <w:spacing w:val="0"/>
          <w:sz w:val="30"/>
          <w:szCs w:val="30"/>
          <w:shd w:val="clear" w:fill="FFFFFF"/>
          <w:lang w:val="en-US" w:eastAsia="zh-CN"/>
        </w:rPr>
        <w:t>（十）部门决算相关信息统计表                CS05表</w:t>
      </w:r>
    </w:p>
    <w:p>
      <w:pPr>
        <w:numPr>
          <w:ilvl w:val="0"/>
          <w:numId w:val="0"/>
        </w:numPr>
        <w:rPr>
          <w:rFonts w:hint="eastAsia" w:ascii="仿宋_GB2312" w:hAnsi="仿宋_GB2312" w:eastAsia="仿宋_GB2312" w:cs="仿宋_GB2312"/>
          <w:b/>
          <w:bCs/>
          <w:i w:val="0"/>
          <w:caps w:val="0"/>
          <w:color w:val="auto"/>
          <w:spacing w:val="0"/>
          <w:sz w:val="30"/>
          <w:szCs w:val="30"/>
          <w:shd w:val="clear" w:fill="FFFFFF"/>
          <w:lang w:val="en-US" w:eastAsia="zh-CN"/>
        </w:rPr>
      </w:pPr>
    </w:p>
    <w:p>
      <w:pPr>
        <w:numPr>
          <w:ilvl w:val="0"/>
          <w:numId w:val="0"/>
        </w:numPr>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十四、专业性较强的名词进行解释</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一、财政拨款收入</w:t>
      </w:r>
      <w:r>
        <w:rPr>
          <w:rFonts w:hint="eastAsia" w:ascii="仿宋_GB2312" w:hAnsi="仿宋_GB2312" w:eastAsia="仿宋_GB2312" w:cs="仿宋_GB2312"/>
          <w:sz w:val="30"/>
          <w:szCs w:val="30"/>
          <w:lang w:val="en-US" w:eastAsia="zh-CN"/>
        </w:rPr>
        <w:t>：指中央财政当年拨付的资金。</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二、事业收入：</w:t>
      </w:r>
      <w:r>
        <w:rPr>
          <w:rFonts w:hint="eastAsia" w:ascii="仿宋_GB2312" w:hAnsi="仿宋_GB2312" w:eastAsia="仿宋_GB2312" w:cs="仿宋_GB2312"/>
          <w:sz w:val="30"/>
          <w:szCs w:val="30"/>
          <w:lang w:val="en-US" w:eastAsia="zh-CN"/>
        </w:rPr>
        <w:t>指事业单位开展专业业务活动及辅助活动 所取得的收入。如：中国财政杂志社的刊物发行收入，中国注 册会计师协会、中国资产评估协会、中国国债协会、中国会计 学会收取的会费收入等。</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三、经营收入：</w:t>
      </w:r>
      <w:r>
        <w:rPr>
          <w:rFonts w:hint="eastAsia" w:ascii="仿宋_GB2312" w:hAnsi="仿宋_GB2312" w:eastAsia="仿宋_GB2312" w:cs="仿宋_GB2312"/>
          <w:sz w:val="30"/>
          <w:szCs w:val="30"/>
          <w:lang w:val="en-US" w:eastAsia="zh-CN"/>
        </w:rPr>
        <w:t xml:space="preserve">指事业单位在专业业务活动及其辅助活动 之外开展非独立核算经营活动取得的收入。如：中国财政杂志 社广告收入等。 </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四、其他收入：</w:t>
      </w:r>
      <w:r>
        <w:rPr>
          <w:rFonts w:hint="eastAsia" w:ascii="仿宋_GB2312" w:hAnsi="仿宋_GB2312" w:eastAsia="仿宋_GB2312" w:cs="仿宋_GB2312"/>
          <w:sz w:val="30"/>
          <w:szCs w:val="30"/>
          <w:lang w:val="en-US" w:eastAsia="zh-CN"/>
        </w:rPr>
        <w:t>指除上述“财政拨款收入”、“事业收入”、 “经营收入”等以外的收入。主要是按规定动用的售房收入、 存款利息收入等。</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五、年初结转和结余：</w:t>
      </w:r>
      <w:r>
        <w:rPr>
          <w:rFonts w:hint="eastAsia" w:ascii="仿宋_GB2312" w:hAnsi="仿宋_GB2312" w:eastAsia="仿宋_GB2312" w:cs="仿宋_GB2312"/>
          <w:sz w:val="30"/>
          <w:szCs w:val="30"/>
          <w:lang w:val="en-US" w:eastAsia="zh-CN"/>
        </w:rPr>
        <w:t>指以前年度尚未完成、结转到本年 按有关规定继续使用的资金。</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六、结余分配：指事业单位按规定提取的职工福利基 金、事业基金和缴纳的所得税，以及建设单位按规定应交回的 基本建设竣工项目结余资金。</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七、基本支出：</w:t>
      </w:r>
      <w:r>
        <w:rPr>
          <w:rFonts w:hint="eastAsia" w:ascii="仿宋_GB2312" w:hAnsi="仿宋_GB2312" w:eastAsia="仿宋_GB2312" w:cs="仿宋_GB2312"/>
          <w:sz w:val="30"/>
          <w:szCs w:val="30"/>
          <w:lang w:val="en-US" w:eastAsia="zh-CN"/>
        </w:rPr>
        <w:t xml:space="preserve">指为保障机构正常运转、完成日常工 作任务而发生的人员支出和公用支出。 </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八、项目支出：</w:t>
      </w:r>
      <w:r>
        <w:rPr>
          <w:rFonts w:hint="eastAsia" w:ascii="仿宋_GB2312" w:hAnsi="仿宋_GB2312" w:eastAsia="仿宋_GB2312" w:cs="仿宋_GB2312"/>
          <w:sz w:val="30"/>
          <w:szCs w:val="30"/>
          <w:lang w:val="en-US" w:eastAsia="zh-CN"/>
        </w:rPr>
        <w:t>指在基本支出之外为完成特定行政任务 和事业发展目标所发生的支出。</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九、经营支出：</w:t>
      </w:r>
      <w:r>
        <w:rPr>
          <w:rFonts w:hint="eastAsia" w:ascii="仿宋_GB2312" w:hAnsi="仿宋_GB2312" w:eastAsia="仿宋_GB2312" w:cs="仿宋_GB2312"/>
          <w:sz w:val="30"/>
          <w:szCs w:val="30"/>
          <w:lang w:val="en-US" w:eastAsia="zh-CN"/>
        </w:rPr>
        <w:t>指事业单位在专业业务活动及其辅助 活动之外开展非独立核算经营活动发生的支出。</w:t>
      </w:r>
      <w:permStart w:id="0" w:edGrp="everyone"/>
      <w:permEnd w:id="0"/>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十、“三公”经费</w:t>
      </w:r>
      <w:r>
        <w:rPr>
          <w:rFonts w:hint="eastAsia" w:ascii="仿宋_GB2312" w:hAnsi="仿宋_GB2312" w:eastAsia="仿宋_GB2312" w:cs="仿宋_GB2312"/>
          <w:sz w:val="30"/>
          <w:szCs w:val="30"/>
          <w:lang w:val="en-US" w:eastAsia="zh-CN"/>
        </w:rPr>
        <w:t>：纳入中央财政预决算管理的“三 公”经费，是指中央部门用财政拨款安排的因公出国（境）费、 公务用车购置及运行费和公务接待费。其中，因公出国（境） 费反映单位公务出国（境）的国际旅费、国外城市间交通费、 住宿费、伙食费、培训费、公杂费等支出；公务用车购置及运 行费反映单位公务用车车辆购置支出（含车辆购置税）及租用 费、燃料费、维修费、过路过桥费、保险费、安全奖励费用等 支出；公务接待费反映单位按规定开支的各类公务接待（含外 宾接待）支出。</w:t>
      </w:r>
    </w:p>
    <w:p>
      <w:pPr>
        <w:numPr>
          <w:ilvl w:val="0"/>
          <w:numId w:val="0"/>
        </w:numPr>
        <w:rPr>
          <w:rFonts w:hint="eastAsia" w:ascii="仿宋_GB2312" w:hAnsi="仿宋_GB2312" w:eastAsia="仿宋_GB2312" w:cs="仿宋_GB2312"/>
          <w:sz w:val="30"/>
          <w:szCs w:val="30"/>
          <w:lang w:val="en-US" w:eastAsia="zh-CN"/>
        </w:rPr>
      </w:pPr>
      <w:bookmarkStart w:id="1" w:name="_GoBack"/>
      <w:r>
        <w:rPr>
          <w:sz w:val="30"/>
        </w:rPr>
        <w:pict>
          <v:shape id="_x0000_s1026" o:spid="_x0000_s1026" o:spt="201" alt="" type="#_x0000_t201" style="position:absolute;left:0pt;margin-left:332.8pt;margin-top:491.85pt;height:119.25pt;width:120pt;mso-position-horizontal-relative:page;mso-position-vertical-relative:page;z-index:-251658240;mso-width-relative:page;mso-height-relative:page;" o:ole="t" filled="f" o:preferrelative="t" stroked="f" coordsize="21600,21600">
            <v:path/>
            <v:fill on="f" focussize="0,0"/>
            <v:stroke on="f"/>
            <v:imagedata r:id="rId8" o:title=""/>
            <o:lock v:ext="edit" aspectratio="f"/>
            <w10:anchorlock/>
          </v:shape>
          <w:control r:id="rId7" w:name="Control 2" w:shapeid="_x0000_s1026"/>
        </w:pict>
      </w:r>
      <w:r>
        <w:rPr>
          <w:rFonts w:hint="eastAsia" w:ascii="仿宋_GB2312" w:hAnsi="仿宋_GB2312" w:eastAsia="仿宋_GB2312" w:cs="仿宋_GB2312"/>
          <w:b/>
          <w:bCs/>
          <w:sz w:val="30"/>
          <w:szCs w:val="30"/>
          <w:lang w:val="en-US" w:eastAsia="zh-CN"/>
        </w:rPr>
        <w:t>十一、机关运行经费</w:t>
      </w:r>
      <w:r>
        <w:rPr>
          <w:rFonts w:hint="eastAsia" w:ascii="仿宋_GB2312" w:hAnsi="仿宋_GB2312" w:eastAsia="仿宋_GB2312" w:cs="仿宋_GB2312"/>
          <w:sz w:val="30"/>
          <w:szCs w:val="30"/>
          <w:lang w:val="en-US" w:eastAsia="zh-CN"/>
        </w:rPr>
        <w:t>：为保障行政单位（含参照公务员 法管理的事业单位）运行用于</w:t>
      </w:r>
      <w:bookmarkEnd w:id="1"/>
      <w:r>
        <w:rPr>
          <w:rFonts w:hint="eastAsia" w:ascii="仿宋_GB2312" w:hAnsi="仿宋_GB2312" w:eastAsia="仿宋_GB2312" w:cs="仿宋_GB2312"/>
          <w:sz w:val="30"/>
          <w:szCs w:val="30"/>
          <w:lang w:val="en-US" w:eastAsia="zh-CN"/>
        </w:rPr>
        <w:t>购买货物和服务的各项资金，包 括办公及印刷费、邮电费、差旅费、会议费、福利费、日常维 修费、专用材料及一般设备购置费、办公用房水电费、办公用 房取暖费、办公用房物业管理费、公务用车运行维护费以及其 他费用。</w:t>
      </w:r>
    </w:p>
    <w:p>
      <w:pPr>
        <w:numPr>
          <w:ilvl w:val="0"/>
          <w:numId w:val="0"/>
        </w:numPr>
        <w:rPr>
          <w:rFonts w:hint="eastAsia" w:ascii="仿宋_GB2312" w:hAnsi="仿宋_GB2312" w:eastAsia="仿宋_GB2312" w:cs="仿宋_GB2312"/>
          <w:sz w:val="30"/>
          <w:szCs w:val="30"/>
          <w:lang w:val="en-US" w:eastAsia="zh-CN"/>
        </w:rPr>
      </w:pPr>
    </w:p>
    <w:p>
      <w:pPr>
        <w:numPr>
          <w:ilvl w:val="0"/>
          <w:numId w:val="0"/>
        </w:numPr>
        <w:ind w:firstLine="3900" w:firstLineChars="13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平塘县供销合作社联合社</w:t>
      </w:r>
    </w:p>
    <w:p>
      <w:pPr>
        <w:numPr>
          <w:ilvl w:val="0"/>
          <w:numId w:val="0"/>
        </w:num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2018年1月15日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3EE81"/>
    <w:multiLevelType w:val="singleLevel"/>
    <w:tmpl w:val="5A13EE81"/>
    <w:lvl w:ilvl="0" w:tentative="0">
      <w:start w:val="1"/>
      <w:numFmt w:val="chineseCounting"/>
      <w:suff w:val="nothing"/>
      <w:lvlText w:val="%1、"/>
      <w:lvlJc w:val="left"/>
    </w:lvl>
  </w:abstractNum>
  <w:abstractNum w:abstractNumId="1">
    <w:nsid w:val="5A13F95B"/>
    <w:multiLevelType w:val="singleLevel"/>
    <w:tmpl w:val="5A13F95B"/>
    <w:lvl w:ilvl="0" w:tentative="0">
      <w:start w:val="2017"/>
      <w:numFmt w:val="decimal"/>
      <w:suff w:val="nothing"/>
      <w:lvlText w:val="%1 "/>
      <w:lvlJc w:val="left"/>
    </w:lvl>
  </w:abstractNum>
  <w:abstractNum w:abstractNumId="2">
    <w:nsid w:val="5A51B0E6"/>
    <w:multiLevelType w:val="singleLevel"/>
    <w:tmpl w:val="5A51B0E6"/>
    <w:lvl w:ilvl="0" w:tentative="0">
      <w:start w:val="7"/>
      <w:numFmt w:val="chineseCounting"/>
      <w:suff w:val="nothing"/>
      <w:lvlText w:val="%1、"/>
      <w:lvlJc w:val="left"/>
    </w:lvl>
  </w:abstractNum>
  <w:abstractNum w:abstractNumId="3">
    <w:nsid w:val="5A536D27"/>
    <w:multiLevelType w:val="singleLevel"/>
    <w:tmpl w:val="5A536D27"/>
    <w:lvl w:ilvl="0" w:tentative="0">
      <w:start w:val="1"/>
      <w:numFmt w:val="chineseCounting"/>
      <w:suff w:val="nothing"/>
      <w:lvlText w:val="（%1）"/>
      <w:lvlJc w:val="left"/>
      <w:pPr>
        <w:ind w:left="320" w:leftChars="0" w:firstLine="0" w:firstLineChars="0"/>
      </w:pPr>
    </w:lvl>
  </w:abstractNum>
  <w:abstractNum w:abstractNumId="4">
    <w:nsid w:val="5A5580D8"/>
    <w:multiLevelType w:val="singleLevel"/>
    <w:tmpl w:val="5A5580D8"/>
    <w:lvl w:ilvl="0" w:tentative="0">
      <w:start w:val="1"/>
      <w:numFmt w:val="decimal"/>
      <w:suff w:val="nothing"/>
      <w:lvlText w:val="%1、"/>
      <w:lvlJc w:val="left"/>
    </w:lvl>
  </w:abstractNum>
  <w:abstractNum w:abstractNumId="5">
    <w:nsid w:val="5A5C66D0"/>
    <w:multiLevelType w:val="singleLevel"/>
    <w:tmpl w:val="5A5C66D0"/>
    <w:lvl w:ilvl="0" w:tentative="0">
      <w:start w:val="1"/>
      <w:numFmt w:val="decimal"/>
      <w:suff w:val="nothing"/>
      <w:lvlText w:val="（%1）"/>
      <w:lvlJc w:val="left"/>
    </w:lvl>
  </w:abstractNum>
  <w:abstractNum w:abstractNumId="6">
    <w:nsid w:val="5A5FF05B"/>
    <w:multiLevelType w:val="singleLevel"/>
    <w:tmpl w:val="5A5FF05B"/>
    <w:lvl w:ilvl="0" w:tentative="0">
      <w:start w:val="2"/>
      <w:numFmt w:val="decimal"/>
      <w:lvlText w:val="%1."/>
      <w:lvlJc w:val="left"/>
      <w:pPr>
        <w:tabs>
          <w:tab w:val="left" w:pos="312"/>
        </w:tabs>
      </w:pPr>
    </w:lvl>
  </w:abstractNum>
  <w:abstractNum w:abstractNumId="7">
    <w:nsid w:val="5A5FF129"/>
    <w:multiLevelType w:val="singleLevel"/>
    <w:tmpl w:val="5A5FF129"/>
    <w:lvl w:ilvl="0" w:tentative="0">
      <w:start w:val="2"/>
      <w:numFmt w:val="decimal"/>
      <w:lvlText w:val="%1."/>
      <w:lvlJc w:val="left"/>
      <w:pPr>
        <w:tabs>
          <w:tab w:val="left" w:pos="312"/>
        </w:tabs>
      </w:pPr>
    </w:lvl>
  </w:abstractNum>
  <w:num w:numId="1">
    <w:abstractNumId w:val="0"/>
  </w:num>
  <w:num w:numId="2">
    <w:abstractNumId w:val="3"/>
  </w:num>
  <w:num w:numId="3">
    <w:abstractNumId w:val="5"/>
  </w:num>
  <w:num w:numId="4">
    <w:abstractNumId w:val="1"/>
  </w:num>
  <w:num w:numId="5">
    <w:abstractNumId w:val="4"/>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dit="readOnly" w:formatting="1" w:enforcement="1" w:cryptProviderType="rsaFull" w:cryptAlgorithmClass="hash" w:cryptAlgorithmType="typeAny" w:cryptAlgorithmSid="4" w:cryptSpinCount="0" w:hash="LM2DFyzDEKNzrIKOgzbJvLSi4J4=" w:salt="dd40XJ8Ly7Dz9FwSXs7O0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87001"/>
    <w:rsid w:val="03D75F72"/>
    <w:rsid w:val="046D5691"/>
    <w:rsid w:val="05187D98"/>
    <w:rsid w:val="062D2301"/>
    <w:rsid w:val="06F81C73"/>
    <w:rsid w:val="08A37337"/>
    <w:rsid w:val="08DB4891"/>
    <w:rsid w:val="0A0C6807"/>
    <w:rsid w:val="0DA169F5"/>
    <w:rsid w:val="0E01352C"/>
    <w:rsid w:val="0E6F0DD5"/>
    <w:rsid w:val="0F70031D"/>
    <w:rsid w:val="0F934937"/>
    <w:rsid w:val="1166049A"/>
    <w:rsid w:val="11AA2F62"/>
    <w:rsid w:val="14F701E6"/>
    <w:rsid w:val="1504030B"/>
    <w:rsid w:val="19222BEC"/>
    <w:rsid w:val="1A2B42B2"/>
    <w:rsid w:val="1AB91DD4"/>
    <w:rsid w:val="1B8B3022"/>
    <w:rsid w:val="1BCC08DA"/>
    <w:rsid w:val="1BCF286A"/>
    <w:rsid w:val="1C4A289A"/>
    <w:rsid w:val="1CA32F7D"/>
    <w:rsid w:val="1D671266"/>
    <w:rsid w:val="1DBD652C"/>
    <w:rsid w:val="1E763DE0"/>
    <w:rsid w:val="1FF451D3"/>
    <w:rsid w:val="20E20D5C"/>
    <w:rsid w:val="21DC140F"/>
    <w:rsid w:val="222B78C2"/>
    <w:rsid w:val="249A623B"/>
    <w:rsid w:val="24B545B1"/>
    <w:rsid w:val="25243C41"/>
    <w:rsid w:val="25F2444B"/>
    <w:rsid w:val="26E4180C"/>
    <w:rsid w:val="276F5939"/>
    <w:rsid w:val="28F7281B"/>
    <w:rsid w:val="29396599"/>
    <w:rsid w:val="29C67F7E"/>
    <w:rsid w:val="2C8A3CE5"/>
    <w:rsid w:val="2CD654C0"/>
    <w:rsid w:val="2CDA2EF7"/>
    <w:rsid w:val="2DA70270"/>
    <w:rsid w:val="2DAF089C"/>
    <w:rsid w:val="2F2B775A"/>
    <w:rsid w:val="2FE0288E"/>
    <w:rsid w:val="30321BF1"/>
    <w:rsid w:val="311A5749"/>
    <w:rsid w:val="313C2855"/>
    <w:rsid w:val="314F7018"/>
    <w:rsid w:val="323E642C"/>
    <w:rsid w:val="32661811"/>
    <w:rsid w:val="33B37A9B"/>
    <w:rsid w:val="35BC5991"/>
    <w:rsid w:val="35E337F0"/>
    <w:rsid w:val="35E72F20"/>
    <w:rsid w:val="36B21DB1"/>
    <w:rsid w:val="36BD543B"/>
    <w:rsid w:val="381D1E9E"/>
    <w:rsid w:val="38226A0B"/>
    <w:rsid w:val="395C5D9C"/>
    <w:rsid w:val="3A704B4B"/>
    <w:rsid w:val="3B051D2D"/>
    <w:rsid w:val="3B303E8A"/>
    <w:rsid w:val="3B853C4A"/>
    <w:rsid w:val="3E8E1AC9"/>
    <w:rsid w:val="3FA31E36"/>
    <w:rsid w:val="41070467"/>
    <w:rsid w:val="4108075D"/>
    <w:rsid w:val="413639F4"/>
    <w:rsid w:val="41433196"/>
    <w:rsid w:val="41EA3297"/>
    <w:rsid w:val="42200E94"/>
    <w:rsid w:val="42300040"/>
    <w:rsid w:val="44614A01"/>
    <w:rsid w:val="44A525B3"/>
    <w:rsid w:val="45183034"/>
    <w:rsid w:val="46AE4735"/>
    <w:rsid w:val="46D863DD"/>
    <w:rsid w:val="479E23FF"/>
    <w:rsid w:val="47AB31E1"/>
    <w:rsid w:val="49405A04"/>
    <w:rsid w:val="499A5FEB"/>
    <w:rsid w:val="49B85B9F"/>
    <w:rsid w:val="4BAD22B1"/>
    <w:rsid w:val="4BB8378E"/>
    <w:rsid w:val="4BD23116"/>
    <w:rsid w:val="4C3A7ADA"/>
    <w:rsid w:val="4C7B2CB9"/>
    <w:rsid w:val="4CB1730E"/>
    <w:rsid w:val="507B7E7A"/>
    <w:rsid w:val="50C27E9C"/>
    <w:rsid w:val="50D42341"/>
    <w:rsid w:val="51A861EC"/>
    <w:rsid w:val="51B27751"/>
    <w:rsid w:val="538A110E"/>
    <w:rsid w:val="5420632B"/>
    <w:rsid w:val="54705621"/>
    <w:rsid w:val="564E0424"/>
    <w:rsid w:val="58C35ABE"/>
    <w:rsid w:val="59820B10"/>
    <w:rsid w:val="5A6A22B1"/>
    <w:rsid w:val="5AAB5304"/>
    <w:rsid w:val="5D3A03E1"/>
    <w:rsid w:val="5D5A32CA"/>
    <w:rsid w:val="5E2571B7"/>
    <w:rsid w:val="60833DCC"/>
    <w:rsid w:val="610B2888"/>
    <w:rsid w:val="62985867"/>
    <w:rsid w:val="68CB2175"/>
    <w:rsid w:val="692F3BD3"/>
    <w:rsid w:val="69FE0F0C"/>
    <w:rsid w:val="6AC05406"/>
    <w:rsid w:val="6B1E1888"/>
    <w:rsid w:val="6C317340"/>
    <w:rsid w:val="6D214DCD"/>
    <w:rsid w:val="6E1C735C"/>
    <w:rsid w:val="6E313434"/>
    <w:rsid w:val="6E6473AE"/>
    <w:rsid w:val="6E8D53D6"/>
    <w:rsid w:val="6EE31D0B"/>
    <w:rsid w:val="70F46371"/>
    <w:rsid w:val="71E53CBF"/>
    <w:rsid w:val="72872C99"/>
    <w:rsid w:val="73944DC7"/>
    <w:rsid w:val="73D1369F"/>
    <w:rsid w:val="74602DF5"/>
    <w:rsid w:val="74704279"/>
    <w:rsid w:val="747E6782"/>
    <w:rsid w:val="76AE07DB"/>
    <w:rsid w:val="77DC7E90"/>
    <w:rsid w:val="79031676"/>
    <w:rsid w:val="792C7B09"/>
    <w:rsid w:val="798C27D1"/>
    <w:rsid w:val="7A237363"/>
    <w:rsid w:val="7C67652B"/>
    <w:rsid w:val="7CC50FBB"/>
    <w:rsid w:val="7EAC4E7F"/>
    <w:rsid w:val="7EB40AAB"/>
    <w:rsid w:val="7EEF5836"/>
    <w:rsid w:val="7F0A069A"/>
    <w:rsid w:val="7F2643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control" Target="activeX/activeX1.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EFFB97D-57E6-4C87-BA87-19C179443B6A}" r:id="rId1" ax:persistence="persistStorage"/>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b="1">
                <a:latin typeface="楷体" panose="02010609060101010101" charset="-122"/>
                <a:ea typeface="楷体" panose="02010609060101010101" charset="-122"/>
              </a:rPr>
              <a:t>图</a:t>
            </a:r>
            <a:r>
              <a:rPr lang="en-US" altLang="zh-CN" b="1">
                <a:latin typeface="楷体" panose="02010609060101010101" charset="-122"/>
                <a:ea typeface="楷体" panose="02010609060101010101" charset="-122"/>
              </a:rPr>
              <a:t>1</a:t>
            </a:r>
            <a:r>
              <a:rPr altLang="en-US" b="1">
                <a:latin typeface="楷体" panose="02010609060101010101" charset="-122"/>
                <a:ea typeface="楷体" panose="02010609060101010101" charset="-122"/>
              </a:rPr>
              <a:t>：</a:t>
            </a:r>
            <a:r>
              <a:rPr b="1">
                <a:latin typeface="楷体" panose="02010609060101010101" charset="-122"/>
                <a:ea typeface="楷体" panose="02010609060101010101" charset="-122"/>
              </a:rPr>
              <a:t>收、支决算总计变动情况</a:t>
            </a:r>
            <a:endParaRPr b="1">
              <a:latin typeface="楷体" panose="02010609060101010101" charset="-122"/>
              <a:ea typeface="楷体" panose="0201060906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b="1">
                <a:latin typeface="楷体" panose="02010609060101010101" charset="-122"/>
                <a:ea typeface="楷体" panose="02010609060101010101" charset="-122"/>
              </a:rPr>
              <a:t>（单位：万元）</a:t>
            </a:r>
            <a:endParaRPr lang="en-US" altLang="zh-CN" b="1">
              <a:latin typeface="楷体" panose="02010609060101010101" charset="-122"/>
              <a:ea typeface="楷体" panose="02010609060101010101" charset="-122"/>
            </a:endParaRP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2016</c:v>
                </c:pt>
              </c:strCache>
            </c:strRef>
          </c:tx>
          <c:spPr>
            <a:solidFill>
              <a:schemeClr val="accent1"/>
            </a:solidFill>
            <a:ln>
              <a:noFill/>
            </a:ln>
            <a:effectLst/>
          </c:spPr>
          <c:invertIfNegative val="0"/>
          <c:dLbls>
            <c:dLbl>
              <c:idx val="0"/>
              <c:layout>
                <c:manualLayout>
                  <c:x val="-0.001875"/>
                  <c:y val="9.473903143468e-1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202.53065</a:t>
                    </a:r>
                  </a:p>
                </c:rich>
              </c:tx>
              <c:dLblPos val="in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2016 2017</c:v>
                </c:pt>
              </c:strCache>
            </c:strRef>
          </c:cat>
          <c:val>
            <c:numRef>
              <c:f>Sheet1!$B$2</c:f>
              <c:numCache>
                <c:formatCode>General</c:formatCode>
                <c:ptCount val="1"/>
                <c:pt idx="0">
                  <c:v>202.53065</c:v>
                </c:pt>
              </c:numCache>
            </c:numRef>
          </c:val>
        </c:ser>
        <c:ser>
          <c:idx val="1"/>
          <c:order val="1"/>
          <c:tx>
            <c:strRef>
              <c:f>Sheet1!$C$1</c:f>
              <c:strCache>
                <c:ptCount val="1"/>
                <c:pt idx="0">
                  <c:v>2017</c:v>
                </c:pt>
              </c:strCache>
            </c:strRef>
          </c:tx>
          <c:spPr>
            <a:solidFill>
              <a:schemeClr val="accent2"/>
            </a:solidFill>
            <a:ln>
              <a:noFill/>
            </a:ln>
            <a:effectLst/>
          </c:spPr>
          <c:invertIfNegative val="0"/>
          <c:dLbls>
            <c:dLbl>
              <c:idx val="0"/>
              <c:layout>
                <c:manualLayout>
                  <c:x val="0.005625"/>
                  <c:y val="0.00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182.224652</a:t>
                    </a:r>
                  </a:p>
                </c:rich>
              </c:tx>
              <c:dLblPos val="in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2016 2017</c:v>
                </c:pt>
              </c:strCache>
            </c:strRef>
          </c:cat>
          <c:val>
            <c:numRef>
              <c:f>Sheet1!$C$2</c:f>
              <c:numCache>
                <c:formatCode>General</c:formatCode>
                <c:ptCount val="1"/>
                <c:pt idx="0">
                  <c:v>182.224652</c:v>
                </c:pt>
              </c:numCache>
            </c:numRef>
          </c:val>
        </c:ser>
        <c:dLbls>
          <c:showLegendKey val="0"/>
          <c:showVal val="1"/>
          <c:showCatName val="0"/>
          <c:showSerName val="0"/>
          <c:showPercent val="0"/>
          <c:showBubbleSize val="0"/>
        </c:dLbls>
        <c:gapWidth val="219"/>
        <c:overlap val="-27"/>
        <c:axId val="118485755"/>
        <c:axId val="859321945"/>
      </c:barChart>
      <c:catAx>
        <c:axId val="118485755"/>
        <c:scaling>
          <c:orientation val="minMax"/>
        </c:scaling>
        <c:delete val="1"/>
        <c:axPos val="b"/>
        <c:majorTickMark val="none"/>
        <c:minorTickMark val="none"/>
        <c:tickLblPos val="nextTo"/>
        <c:txPr>
          <a:bodyPr rot="-60000000" spcFirstLastPara="0" vertOverflow="ellipsis" vert="horz" wrap="square" anchor="ctr" anchorCtr="1"/>
          <a:lstStyle/>
          <a:p>
            <a:pPr>
              <a:defRPr lang="zh-CN" sz="900" b="0" i="0" u="none" strike="noStrike" kern="2800" cap="none" spc="0" normalizeH="0" baseline="0">
                <a:solidFill>
                  <a:schemeClr val="tx1">
                    <a:lumMod val="65000"/>
                    <a:lumOff val="35000"/>
                  </a:schemeClr>
                </a:solidFill>
                <a:uFill>
                  <a:solidFill>
                    <a:schemeClr val="tx1">
                      <a:lumMod val="65000"/>
                      <a:lumOff val="35000"/>
                    </a:schemeClr>
                  </a:solidFill>
                </a:uFill>
                <a:latin typeface="+mn-lt"/>
                <a:ea typeface="+mn-ea"/>
                <a:cs typeface="+mn-cs"/>
              </a:defRPr>
            </a:pPr>
          </a:p>
        </c:txPr>
        <c:crossAx val="859321945"/>
        <c:crosses val="autoZero"/>
        <c:auto val="1"/>
        <c:lblAlgn val="ctr"/>
        <c:lblOffset val="100"/>
        <c:noMultiLvlLbl val="0"/>
      </c:catAx>
      <c:valAx>
        <c:axId val="859321945"/>
        <c:scaling>
          <c:orientation val="minMax"/>
        </c:scaling>
        <c:delete val="0"/>
        <c:axPos val="l"/>
        <c:majorGridlines>
          <c:spPr>
            <a:ln w="12700" cap="flat" cmpd="sng" algn="ctr">
              <a:solidFill>
                <a:schemeClr val="tx1"/>
              </a:solidFill>
              <a:prstDash val="sysDot"/>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8485755"/>
        <c:crosses val="autoZero"/>
        <c:crossBetween val="between"/>
      </c:valAx>
      <c:spPr>
        <a:noFill/>
        <a:ln w="12700" cmpd="sng">
          <a:solidFill>
            <a:schemeClr val="tx1"/>
          </a:solidFill>
          <a:prstDash val="solid"/>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rPr>
                <a:latin typeface="楷体_GB2312" panose="02010609030101010101" charset="-122"/>
                <a:ea typeface="楷体_GB2312" panose="02010609030101010101" charset="-122"/>
              </a:rPr>
              <a:t>图</a:t>
            </a:r>
            <a:r>
              <a:rPr lang="en-US" altLang="zh-CN">
                <a:latin typeface="楷体_GB2312" panose="02010609030101010101" charset="-122"/>
                <a:ea typeface="楷体_GB2312" panose="02010609030101010101" charset="-122"/>
              </a:rPr>
              <a:t>2</a:t>
            </a:r>
            <a:r>
              <a:rPr altLang="en-US">
                <a:latin typeface="楷体_GB2312" panose="02010609030101010101" charset="-122"/>
                <a:ea typeface="楷体_GB2312" panose="02010609030101010101" charset="-122"/>
              </a:rPr>
              <a:t>：</a:t>
            </a:r>
            <a:r>
              <a:rPr>
                <a:latin typeface="楷体_GB2312" panose="02010609030101010101" charset="-122"/>
                <a:ea typeface="楷体_GB2312" panose="02010609030101010101" charset="-122"/>
              </a:rPr>
              <a:t>收入决算</a:t>
            </a:r>
            <a:endParaRPr>
              <a:latin typeface="楷体_GB2312" panose="02010609030101010101" charset="-122"/>
              <a:ea typeface="楷体_GB2312" panose="02010609030101010101" charset="-122"/>
            </a:endParaRPr>
          </a:p>
        </c:rich>
      </c:tx>
      <c:layout/>
      <c:overlay val="0"/>
      <c:spPr>
        <a:noFill/>
        <a:ln>
          <a:noFill/>
        </a:ln>
        <a:effectLst/>
      </c:spPr>
    </c:title>
    <c:autoTitleDeleted val="0"/>
    <c:plotArea>
      <c:layout/>
      <c:pieChart>
        <c:varyColors val="1"/>
        <c:ser>
          <c:idx val="0"/>
          <c:order val="0"/>
          <c:tx>
            <c:strRef>
              <c:f>Sheet1!$B$1</c:f>
              <c:strCache>
                <c:ptCount val="1"/>
                <c:pt idx="0">
                  <c:v>收入决算</c:v>
                </c:pt>
              </c:strCache>
            </c:strRef>
          </c:tx>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dLbl>
              <c:idx val="0"/>
              <c:layout>
                <c:manualLayout>
                  <c:x val="-0.0528106197420268"/>
                  <c:y val="-0.28971906354451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a:latin typeface="楷体_GB2312" panose="02010609030101010101" charset="-122"/>
                        <a:ea typeface="楷体_GB2312" panose="02010609030101010101" charset="-122"/>
                      </a:rPr>
                      <a:t>财政拨款收入占100%</a:t>
                    </a:r>
                    <a:endParaRPr>
                      <a:latin typeface="楷体_GB2312" panose="02010609030101010101" charset="-122"/>
                      <a:ea typeface="楷体_GB2312" panose="02010609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财政拨款收入</c:v>
                </c:pt>
              </c:strCache>
            </c:strRef>
          </c:cat>
          <c:val>
            <c:numRef>
              <c:f>Sheet1!$B$2</c:f>
              <c:numCache>
                <c:formatCode>General</c:formatCode>
                <c:ptCount val="1"/>
                <c:pt idx="0">
                  <c:v>182.224652</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rPr sz="1500">
                <a:latin typeface="楷体_GB2312" panose="02010609030101010101" charset="-122"/>
                <a:ea typeface="楷体_GB2312" panose="02010609030101010101" charset="-122"/>
              </a:rPr>
              <a:t>图</a:t>
            </a:r>
            <a:r>
              <a:rPr lang="en-US" altLang="zh-CN" sz="1500">
                <a:latin typeface="楷体_GB2312" panose="02010609030101010101" charset="-122"/>
                <a:ea typeface="楷体_GB2312" panose="02010609030101010101" charset="-122"/>
              </a:rPr>
              <a:t>3</a:t>
            </a:r>
            <a:r>
              <a:rPr altLang="en-US" sz="1500">
                <a:latin typeface="楷体_GB2312" panose="02010609030101010101" charset="-122"/>
                <a:ea typeface="楷体_GB2312" panose="02010609030101010101" charset="-122"/>
              </a:rPr>
              <a:t>：</a:t>
            </a:r>
            <a:r>
              <a:rPr sz="1500">
                <a:latin typeface="楷体_GB2312" panose="02010609030101010101" charset="-122"/>
                <a:ea typeface="楷体_GB2312" panose="02010609030101010101" charset="-122"/>
              </a:rPr>
              <a:t>支出决算</a:t>
            </a:r>
            <a:endParaRPr sz="1500">
              <a:latin typeface="楷体_GB2312" panose="02010609030101010101" charset="-122"/>
              <a:ea typeface="楷体_GB2312" panose="02010609030101010101" charset="-122"/>
            </a:endParaRPr>
          </a:p>
        </c:rich>
      </c:tx>
      <c:layout/>
      <c:overlay val="0"/>
      <c:spPr>
        <a:noFill/>
        <a:ln>
          <a:noFill/>
        </a:ln>
        <a:effectLst/>
      </c:spPr>
    </c:title>
    <c:autoTitleDeleted val="0"/>
    <c:plotArea>
      <c:layout/>
      <c:pieChart>
        <c:varyColors val="1"/>
        <c:ser>
          <c:idx val="0"/>
          <c:order val="0"/>
          <c:tx>
            <c:strRef>
              <c:f>Sheet1!$B$1</c:f>
              <c:strCache>
                <c:ptCount val="1"/>
                <c:pt idx="0">
                  <c:v>支出决算</c:v>
                </c:pt>
              </c:strCache>
            </c:strRef>
          </c:tx>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基本支出41.2%</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项目支出</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58.8</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107.224652</c:v>
                </c:pt>
                <c:pt idx="1">
                  <c:v>75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筱欢</cp:lastModifiedBy>
  <dcterms:modified xsi:type="dcterms:W3CDTF">2018-07-23T01:12:33Z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