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-630555</wp:posOffset>
                </wp:positionV>
                <wp:extent cx="1684020" cy="3733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735965" y="696595"/>
                          <a:ext cx="16840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95pt;margin-top:-49.65pt;height:29.4pt;width:132.6pt;z-index:251658240;mso-width-relative:page;mso-height-relative:page;" filled="f" stroked="f" coordsize="21600,21600" o:gfxdata="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CjVYyA2wAAAAsBAAAPAAAAAAAAAAEA&#10;IAAAADgAAABkcnMvZG93bnJldi54bWxQSwECFAAUAAAACACHTuJAD97GmS8CAAA0BAAADgAAAAAA&#10;AAABACAAAABA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贵州省文化和旅游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行政裁量权基准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说明</w:t>
      </w:r>
    </w:p>
    <w:p>
      <w:pPr>
        <w:pStyle w:val="10"/>
        <w:bidi w:val="0"/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一、本</w:t>
      </w:r>
      <w:r>
        <w:rPr>
          <w:rFonts w:hint="eastAsia" w:ascii="仿宋_GB2312" w:hAnsi="仿宋_GB2312" w:cs="仿宋_GB2312"/>
          <w:lang w:eastAsia="zh-CN"/>
        </w:rPr>
        <w:t>基准</w:t>
      </w:r>
      <w:r>
        <w:rPr>
          <w:rFonts w:hint="eastAsia" w:ascii="仿宋_GB2312" w:hAnsi="仿宋_GB2312" w:eastAsia="仿宋_GB2312" w:cs="仿宋_GB2312"/>
        </w:rPr>
        <w:t>的裁量依据包括但不限于：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）旅游领域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《中华人民共和国旅游法》《旅行社条例》《导游人员管理条例》</w:t>
      </w:r>
      <w:r>
        <w:rPr>
          <w:rFonts w:hint="eastAsia"/>
          <w:lang w:eastAsia="zh-CN"/>
        </w:rPr>
        <w:t>《</w:t>
      </w:r>
      <w:r>
        <w:rPr>
          <w:rFonts w:hint="eastAsia"/>
        </w:rPr>
        <w:t>旅行社条例实施细则》《中国公民出国旅游管理办法》《旅游安全管理办法》《导游管理办法》《在线旅游经营服务管理暂行规定》《</w:t>
      </w:r>
      <w:r>
        <w:rPr>
          <w:rFonts w:hint="eastAsia"/>
          <w:lang w:val="en-US" w:eastAsia="zh-CN"/>
        </w:rPr>
        <w:t>贵州</w:t>
      </w:r>
      <w:r>
        <w:rPr>
          <w:rFonts w:hint="eastAsia"/>
        </w:rPr>
        <w:t>省旅游条例》</w:t>
      </w:r>
      <w:r>
        <w:rPr>
          <w:rFonts w:hint="eastAsia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eastAsia"/>
          <w:lang w:val="en-US" w:eastAsia="zh-CN"/>
        </w:rPr>
        <w:t>文化领域：</w:t>
      </w:r>
      <w:r>
        <w:rPr>
          <w:rFonts w:hint="eastAsia"/>
        </w:rPr>
        <w:t>《中华人民共和国公共文化服务保障法》《中华人民共和国公共图书馆法》《中华人民共和国非物质文化遗产法》《国家级非物质文化遗产保护与管理暂行办法》《贵州省非物质文化遗产保护条例》《互联网上网服务营业场所管理条例》《互联网文化管理暂行规定》《娱乐场所管理条例》《营业性演出管理条例》《营业性演出管理条例实施细则》《涉外文化艺术表演及展览管理规定》《娱乐场所管理办法》《艺术品经营管理办法》《社会艺术水平考级管理办法》</w:t>
      </w:r>
      <w:r>
        <w:rPr>
          <w:rFonts w:hint="eastAsia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文物领域：《中华人民共和国文物保护法》《中华人民共和国文物保护法实施条例》《博物馆条例》《贵州省文物保护条例》</w:t>
      </w:r>
      <w:r>
        <w:rPr>
          <w:rFonts w:hint="eastAsia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其他：</w:t>
      </w:r>
      <w:r>
        <w:rPr>
          <w:rFonts w:hint="eastAsia"/>
        </w:rPr>
        <w:t>《中华人民共和国行政处罚法》《中华人民共和国未成年人保护法》《文化市场综合执法行政处罚裁量权适用办法》</w:t>
      </w:r>
      <w:r>
        <w:rPr>
          <w:rFonts w:hint="eastAsia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二</w:t>
      </w:r>
      <w:r>
        <w:rPr>
          <w:rFonts w:hint="eastAsia"/>
        </w:rPr>
        <w:t>、同一违法行为违反不同法律、法规或者规章的，在适用法律、法规或者规章时应当遵循上位法优先、特别法优先、新法优先的原则。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 xml:space="preserve">、有下列情形之一的，应当依法不予处罚：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（一）不满十四周岁的未成年人有违法行为的；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（二）精神病人、智力残疾人在不能辨认或者不能控制自己行为时有违法行为的；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（三）违法行为轻微并及时改正，没有造成危害后果的；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（四）当事人有证据足以证明没有主观过错的（法律、行政法规另有规定的，从其规定）；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"javascript:void(0);"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（五）法律、法规和规章规定的其他情形。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初次违法且危害后果轻微并及时改正的，可以不予行政处罚。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对当事人的违法行为依法不予行政处罚的，执法</w:t>
      </w:r>
      <w:r>
        <w:rPr>
          <w:rFonts w:hint="eastAsia"/>
          <w:lang w:eastAsia="zh-CN"/>
        </w:rPr>
        <w:t>部门</w:t>
      </w:r>
      <w:r>
        <w:rPr>
          <w:rFonts w:hint="eastAsia"/>
        </w:rPr>
        <w:t>应当对当事人进行教育；有第</w:t>
      </w:r>
      <w:r>
        <w:rPr>
          <w:rFonts w:hint="eastAsia"/>
          <w:lang w:eastAsia="zh-CN"/>
        </w:rPr>
        <w:t>（一）</w:t>
      </w:r>
      <w:r>
        <w:rPr>
          <w:rFonts w:hint="eastAsia"/>
        </w:rPr>
        <w:t>项规定情形的，应当责令其监护人加以管教；有第</w:t>
      </w:r>
      <w:r>
        <w:rPr>
          <w:rFonts w:hint="eastAsia"/>
          <w:lang w:eastAsia="zh-CN"/>
        </w:rPr>
        <w:t>（二）</w:t>
      </w:r>
      <w:r>
        <w:rPr>
          <w:rFonts w:hint="eastAsia"/>
        </w:rPr>
        <w:t>项规定情形的，应当责令其监护人严加看管和治疗。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违法行为在二年内未被发现的，不再给予行政处罚，法律另有规定的除外。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、有下列情形之一的，应当依法从轻或者减轻处罚：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（一）已满十四周岁不满十八周岁的未成年人有违法行为的；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（二）主动消除或者减轻违法行为危害后果的；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（三）受他人胁迫或者诱骗有违法行为的；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（四）主动供述执法</w:t>
      </w:r>
      <w:r>
        <w:rPr>
          <w:rFonts w:hint="eastAsia"/>
          <w:lang w:eastAsia="zh-CN"/>
        </w:rPr>
        <w:t>部门</w:t>
      </w:r>
      <w:r>
        <w:rPr>
          <w:rFonts w:hint="eastAsia"/>
        </w:rPr>
        <w:t>尚未掌握的违法行为的；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（五）配合执法</w:t>
      </w:r>
      <w:r>
        <w:rPr>
          <w:rFonts w:hint="eastAsia"/>
          <w:lang w:eastAsia="zh-CN"/>
        </w:rPr>
        <w:t>部门</w:t>
      </w:r>
      <w:r>
        <w:rPr>
          <w:rFonts w:hint="eastAsia"/>
        </w:rPr>
        <w:t>查处违法行为有立功表现的；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（六）法律、法规、规章规定的其他情形。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尚未完全丧失辨认或者控制自己行为能力的精神病人、智力残疾人有违法行为的，可以从轻或者减轻行政处罚。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、有下列情形之一的，应当依法从重处罚：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（一）危害国家文化安全和意识形态安全，严重扰乱市场经营秩序的；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（二）在共同实施的违法行为中起主要作用或者教唆、胁迫、诱骗他人实施违法行为的；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（三）经执法部门通过新闻媒体、发布公告等方式禁止或者告诫后，继续实施违法行为的；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）经执法部门责令改正违法行为后，继续实施同一违法行为的；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（五）因同种违法行为一年内受到三次及以上行政处罚的；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（六）隐匿、破坏、销毁、篡改有关证据，或者拒不配合、阻碍、以暴力威胁执法人员依法执行职务的；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（七）对证人、举报人或者执法人员打击报复的；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（八）违法行为引起群众强烈反映、引发群体性事件或者造成其他不良社会影响的；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（九）违反未成年人保护相关规定且情节严重的；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（十）扰乱公共秩序、妨害公共安全和社会管理，情节严重、尚未构成犯罪的；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（十一）法律、法规、规章规定的其他情形。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六、违法行为不具有从轻或者减轻、从重情形的，应当给予一般处罚。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七、同时具有两个或两个以上从重情节、且不具有从轻情节的，应当按最高处罚幅度实施处罚。同时具有两个或两个以上从轻情节、且不具有从重情节的，可以按最低处罚幅度实施处罚。同时具有从重、从轻情节的，应当综合考虑违法行为的性质和社会危害性，根据主要情节实施处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本</w:t>
      </w:r>
      <w:r>
        <w:rPr>
          <w:rFonts w:hint="eastAsia"/>
          <w:lang w:eastAsia="zh-CN"/>
        </w:rPr>
        <w:t>基准</w:t>
      </w:r>
      <w:r>
        <w:rPr>
          <w:rFonts w:hint="eastAsia"/>
        </w:rPr>
        <w:t>中违法行为累计查处次数期限</w:t>
      </w:r>
      <w:r>
        <w:rPr>
          <w:rFonts w:hint="eastAsia"/>
          <w:lang w:val="en-US" w:eastAsia="zh-CN"/>
        </w:rPr>
        <w:t>中的</w:t>
      </w:r>
      <w:r>
        <w:rPr>
          <w:rFonts w:hint="eastAsia"/>
        </w:rPr>
        <w:t>年度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以做出行政处罚决定的时间开始计算，有特殊说明的除外。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、本</w:t>
      </w:r>
      <w:r>
        <w:rPr>
          <w:rFonts w:hint="eastAsia"/>
          <w:lang w:eastAsia="zh-CN"/>
        </w:rPr>
        <w:t>基准</w:t>
      </w:r>
      <w:r>
        <w:rPr>
          <w:rFonts w:hint="eastAsia"/>
        </w:rPr>
        <w:t>所称“以上”“不足”不包含本数，“以下”均含本数；本</w:t>
      </w:r>
      <w:r>
        <w:rPr>
          <w:rFonts w:hint="eastAsia"/>
          <w:lang w:eastAsia="zh-CN"/>
        </w:rPr>
        <w:t>基准</w:t>
      </w:r>
      <w:r>
        <w:rPr>
          <w:rFonts w:hint="eastAsia"/>
        </w:rPr>
        <w:t>所称“XX至XX”包含本数，另有说明的除外</w:t>
      </w:r>
      <w:r>
        <w:rPr>
          <w:rFonts w:hint="eastAsia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本基准对“以上”、“以下”、“不足”、</w:t>
      </w:r>
      <w:r>
        <w:rPr>
          <w:rFonts w:hint="eastAsia"/>
        </w:rPr>
        <w:t>“XX至XX”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解释，仅适用于基准本身，不用于解释原法律条文。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本基准“适用条件和情形”中如规定有多项条件，满足其中之一即可适用相应的“处罚裁量标准”，另有说明的除外。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十一、</w:t>
      </w:r>
      <w:r>
        <w:rPr>
          <w:rFonts w:hint="eastAsia"/>
        </w:rPr>
        <w:t>执法人员在执法过程中应当结合案件实际情况科学、合理认定违法程度、适用情形等，正确理解适用法律、法规、规章规定。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十二、省文化和旅游厅将根据行政处罚裁量权依据的变动和执法工作实际，及时对行政处罚裁量权基准进行修订。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十三</w:t>
      </w:r>
      <w:r>
        <w:rPr>
          <w:rFonts w:hint="eastAsia"/>
        </w:rPr>
        <w:t>、设区的市、自治州人民政府及其部门可以依照法律、法规、规章以及本</w:t>
      </w:r>
      <w:r>
        <w:rPr>
          <w:rFonts w:hint="eastAsia"/>
          <w:lang w:eastAsia="zh-CN"/>
        </w:rPr>
        <w:t>基准</w:t>
      </w:r>
      <w:r>
        <w:rPr>
          <w:rFonts w:hint="eastAsia"/>
        </w:rPr>
        <w:t>制定本行政区域内的文化</w:t>
      </w:r>
      <w:r>
        <w:rPr>
          <w:rFonts w:hint="eastAsia"/>
          <w:lang w:eastAsia="zh-CN"/>
        </w:rPr>
        <w:t>和旅游系统</w:t>
      </w:r>
      <w:r>
        <w:rPr>
          <w:rFonts w:hint="eastAsia"/>
        </w:rPr>
        <w:t>行政裁量权基准。县级人民政府及其部门可以在法定范围内，对本</w:t>
      </w:r>
      <w:r>
        <w:rPr>
          <w:rFonts w:hint="eastAsia"/>
          <w:lang w:eastAsia="zh-CN"/>
        </w:rPr>
        <w:t>基</w:t>
      </w:r>
      <w:r>
        <w:rPr>
          <w:rFonts w:hint="eastAsia"/>
          <w:spacing w:val="-6"/>
          <w:sz w:val="32"/>
          <w:lang w:eastAsia="zh-CN"/>
        </w:rPr>
        <w:t>准</w:t>
      </w:r>
      <w:r>
        <w:rPr>
          <w:rFonts w:hint="eastAsia"/>
          <w:spacing w:val="-6"/>
          <w:sz w:val="32"/>
        </w:rPr>
        <w:t>适用的标准、条件、种类、幅度、方式、时限予以合理细化量化。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ZTRjNmM4MWYwMjRiOWRkODA2OTYyMWYzNzRkNTkifQ=="/>
  </w:docVars>
  <w:rsids>
    <w:rsidRoot w:val="5B1D58FE"/>
    <w:rsid w:val="000577D0"/>
    <w:rsid w:val="00141793"/>
    <w:rsid w:val="003E097D"/>
    <w:rsid w:val="00426C47"/>
    <w:rsid w:val="0044122B"/>
    <w:rsid w:val="004A449D"/>
    <w:rsid w:val="005D04E8"/>
    <w:rsid w:val="00647D0D"/>
    <w:rsid w:val="006A3C90"/>
    <w:rsid w:val="006D7EA9"/>
    <w:rsid w:val="00791CD4"/>
    <w:rsid w:val="007D6036"/>
    <w:rsid w:val="00833755"/>
    <w:rsid w:val="00981C98"/>
    <w:rsid w:val="009C67CA"/>
    <w:rsid w:val="009D06A6"/>
    <w:rsid w:val="00CA08C3"/>
    <w:rsid w:val="00CB3F8B"/>
    <w:rsid w:val="00CE36A6"/>
    <w:rsid w:val="00D065E2"/>
    <w:rsid w:val="00DB32C0"/>
    <w:rsid w:val="00EB0610"/>
    <w:rsid w:val="00EB5159"/>
    <w:rsid w:val="00F47B73"/>
    <w:rsid w:val="00F816C7"/>
    <w:rsid w:val="0A067AA8"/>
    <w:rsid w:val="124115B9"/>
    <w:rsid w:val="1A9866E9"/>
    <w:rsid w:val="1ED03C27"/>
    <w:rsid w:val="1FCC611D"/>
    <w:rsid w:val="27001CDC"/>
    <w:rsid w:val="277F2F2D"/>
    <w:rsid w:val="29BC4F76"/>
    <w:rsid w:val="2D5D22E3"/>
    <w:rsid w:val="30594C89"/>
    <w:rsid w:val="38FFEEA3"/>
    <w:rsid w:val="3BFB5E85"/>
    <w:rsid w:val="3ED76BDC"/>
    <w:rsid w:val="3F7F6995"/>
    <w:rsid w:val="42F61D89"/>
    <w:rsid w:val="439C2578"/>
    <w:rsid w:val="520146A0"/>
    <w:rsid w:val="57DF528E"/>
    <w:rsid w:val="5B1C1498"/>
    <w:rsid w:val="5B1D58FE"/>
    <w:rsid w:val="61041955"/>
    <w:rsid w:val="66B12803"/>
    <w:rsid w:val="68C549F9"/>
    <w:rsid w:val="6B77ED05"/>
    <w:rsid w:val="6C35427F"/>
    <w:rsid w:val="77FBA8AF"/>
    <w:rsid w:val="7C3F2551"/>
    <w:rsid w:val="7DF31E45"/>
    <w:rsid w:val="7E1E1E0A"/>
    <w:rsid w:val="7EFB6588"/>
    <w:rsid w:val="7F5C0E17"/>
    <w:rsid w:val="7F6326A9"/>
    <w:rsid w:val="7F7F7B04"/>
    <w:rsid w:val="ADEFF1B1"/>
    <w:rsid w:val="BDDFD3E6"/>
    <w:rsid w:val="DEFD2991"/>
    <w:rsid w:val="DFF63EE8"/>
    <w:rsid w:val="F6BF588F"/>
    <w:rsid w:val="F7EDE52C"/>
    <w:rsid w:val="F9F662B5"/>
    <w:rsid w:val="FADBA9DF"/>
    <w:rsid w:val="FAFF1511"/>
    <w:rsid w:val="FC955FD7"/>
    <w:rsid w:val="FDBA6231"/>
    <w:rsid w:val="FE870697"/>
    <w:rsid w:val="FFE8D6A4"/>
    <w:rsid w:val="FFF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annotation subject"/>
    <w:basedOn w:val="3"/>
    <w:next w:val="3"/>
    <w:link w:val="17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公文样式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13">
    <w:name w:val="font212"/>
    <w:basedOn w:val="8"/>
    <w:qFormat/>
    <w:uiPriority w:val="0"/>
    <w:rPr>
      <w:rFonts w:hint="eastAsia" w:ascii="宋体" w:hAnsi="宋体" w:eastAsia="宋体" w:cs="宋体"/>
      <w:b/>
      <w:bCs/>
      <w:color w:val="00CCFF"/>
      <w:sz w:val="18"/>
      <w:szCs w:val="18"/>
      <w:u w:val="none"/>
    </w:rPr>
  </w:style>
  <w:style w:type="character" w:customStyle="1" w:styleId="14">
    <w:name w:val="font1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8"/>
    <w:link w:val="3"/>
    <w:qFormat/>
    <w:uiPriority w:val="0"/>
    <w:rPr>
      <w:rFonts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rFonts w:cstheme="minorBidi"/>
      <w:b/>
      <w:bCs/>
      <w:kern w:val="2"/>
      <w:sz w:val="21"/>
      <w:szCs w:val="24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1818</Words>
  <Characters>1822</Characters>
  <Lines>10</Lines>
  <Paragraphs>2</Paragraphs>
  <TotalTime>19</TotalTime>
  <ScaleCrop>false</ScaleCrop>
  <LinksUpToDate>false</LinksUpToDate>
  <CharactersWithSpaces>1844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2023-01-20T16:36:00Z</dcterms:created>
  <dc:creator>无尤</dc:creator>
  <cp:lastModifiedBy>ysgz</cp:lastModifiedBy>
  <cp:lastPrinted>2023-08-29T15:14:00Z</cp:lastPrinted>
  <dcterms:modified xsi:type="dcterms:W3CDTF">2023-09-06T12:14:25Z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CB745235FFA54573A847D6BF1052AE0B_13</vt:lpwstr>
  </property>
</Properties>
</file>